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1633EC52" w:rsidR="00B936B3" w:rsidRPr="00AE3387" w:rsidRDefault="00B82E17" w:rsidP="00B936B3">
      <w:pPr>
        <w:pStyle w:val="Header"/>
        <w:spacing w:line="271" w:lineRule="auto"/>
        <w:rPr>
          <w:rFonts w:cstheme="minorHAnsi"/>
          <w:b/>
          <w:bCs/>
          <w:color w:val="C3001E"/>
          <w:sz w:val="32"/>
          <w:szCs w:val="32"/>
          <w:lang w:val="es-ES"/>
        </w:rPr>
      </w:pPr>
      <w:r w:rsidRPr="00B82E17">
        <w:rPr>
          <w:rFonts w:cstheme="minorHAnsi"/>
          <w:b/>
          <w:bCs/>
          <w:color w:val="C3001E"/>
          <w:sz w:val="32"/>
          <w:szCs w:val="32"/>
          <w:lang w:val="es-ES"/>
        </w:rPr>
        <w:t>ARTÍCULO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59FC2DAB"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4F0E9E">
        <w:rPr>
          <w:rFonts w:asciiTheme="minorHAnsi" w:hAnsiTheme="minorHAnsi" w:cstheme="minorHAnsi"/>
          <w:b/>
          <w:bCs/>
          <w:sz w:val="19"/>
          <w:szCs w:val="19"/>
          <w:lang w:val="es-ES"/>
        </w:rPr>
        <w:t>2</w:t>
      </w:r>
      <w:r w:rsidR="004F0E9E" w:rsidRPr="004F0E9E">
        <w:rPr>
          <w:rFonts w:asciiTheme="minorHAnsi" w:hAnsiTheme="minorHAnsi" w:cstheme="minorHAnsi"/>
          <w:b/>
          <w:bCs/>
          <w:sz w:val="19"/>
          <w:szCs w:val="19"/>
          <w:lang w:val="es-ES"/>
        </w:rPr>
        <w:t xml:space="preserve"> de mayo de 202</w:t>
      </w:r>
      <w:r w:rsidR="004F0E9E">
        <w:rPr>
          <w:rFonts w:asciiTheme="minorHAnsi" w:hAnsiTheme="minorHAnsi" w:cstheme="minorHAnsi"/>
          <w:b/>
          <w:bCs/>
          <w:sz w:val="19"/>
          <w:szCs w:val="19"/>
          <w:lang w:val="es-ES"/>
        </w:rPr>
        <w:t>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57B063B" w14:textId="77777777" w:rsidR="00B82E17" w:rsidRPr="00B82E17" w:rsidRDefault="00B82E17" w:rsidP="00B82E17">
      <w:pPr>
        <w:spacing w:line="240" w:lineRule="auto"/>
        <w:rPr>
          <w:rFonts w:asciiTheme="minorHAnsi" w:eastAsia="SimSun" w:hAnsiTheme="minorHAnsi" w:cstheme="minorHAnsi"/>
          <w:b/>
          <w:bCs/>
          <w:sz w:val="20"/>
          <w:szCs w:val="20"/>
          <w:lang w:val="es-ES" w:eastAsia="zh-CN"/>
        </w:rPr>
      </w:pPr>
      <w:r w:rsidRPr="00B82E17">
        <w:rPr>
          <w:rFonts w:asciiTheme="minorHAnsi" w:eastAsia="SimSun" w:hAnsiTheme="minorHAnsi" w:cstheme="minorHAnsi"/>
          <w:b/>
          <w:bCs/>
          <w:sz w:val="20"/>
          <w:szCs w:val="20"/>
          <w:lang w:val="es-ES" w:eastAsia="zh-CN"/>
        </w:rPr>
        <w:t>Sostenibilidad: la «megatendencia» que requiere compromiso, colaboración e innovación continua</w:t>
      </w:r>
    </w:p>
    <w:p w14:paraId="21A4682A" w14:textId="77777777" w:rsidR="00B82E17" w:rsidRPr="00453BFE" w:rsidRDefault="00B82E17" w:rsidP="00B82E17">
      <w:pPr>
        <w:spacing w:line="240" w:lineRule="auto"/>
        <w:rPr>
          <w:rFonts w:asciiTheme="minorHAnsi" w:eastAsia="SimSun" w:hAnsiTheme="minorHAnsi" w:cstheme="minorHAnsi"/>
          <w:i/>
          <w:iCs/>
          <w:sz w:val="20"/>
          <w:szCs w:val="20"/>
          <w:lang w:val="fr-CH" w:eastAsia="zh-CN"/>
        </w:rPr>
      </w:pPr>
    </w:p>
    <w:p w14:paraId="2BAACB91" w14:textId="3FE3CFB7" w:rsidR="00B82E17" w:rsidRPr="00453BFE" w:rsidRDefault="00B82E17" w:rsidP="00B82E17">
      <w:pPr>
        <w:spacing w:line="240" w:lineRule="auto"/>
        <w:rPr>
          <w:rFonts w:asciiTheme="minorHAnsi" w:eastAsia="SimSun" w:hAnsiTheme="minorHAnsi" w:cstheme="minorHAnsi"/>
          <w:i/>
          <w:iCs/>
          <w:sz w:val="20"/>
          <w:szCs w:val="20"/>
          <w:lang w:val="fr-CH" w:eastAsia="zh-CN"/>
        </w:rPr>
      </w:pPr>
      <w:r w:rsidRPr="00B82E17">
        <w:rPr>
          <w:rFonts w:asciiTheme="minorHAnsi" w:eastAsia="SimSun" w:hAnsiTheme="minorHAnsi" w:cstheme="minorHAnsi"/>
          <w:i/>
          <w:iCs/>
          <w:sz w:val="20"/>
          <w:szCs w:val="20"/>
          <w:lang w:val="es-ES" w:eastAsia="zh-CN"/>
        </w:rPr>
        <w:t xml:space="preserve">En la cuenta atrás para drupa 2024, BOBST revisa algunos de los principales temas y cuestiones que dan forma a la industria. </w:t>
      </w:r>
      <w:r w:rsidRPr="00453BFE">
        <w:rPr>
          <w:rFonts w:asciiTheme="minorHAnsi" w:eastAsia="SimSun" w:hAnsiTheme="minorHAnsi" w:cstheme="minorHAnsi"/>
          <w:i/>
          <w:iCs/>
          <w:sz w:val="20"/>
          <w:szCs w:val="20"/>
          <w:lang w:val="fr-CH" w:eastAsia="zh-CN"/>
        </w:rPr>
        <w:t xml:space="preserve">En este </w:t>
      </w:r>
      <w:proofErr w:type="spellStart"/>
      <w:r w:rsidRPr="00453BFE">
        <w:rPr>
          <w:rFonts w:asciiTheme="minorHAnsi" w:eastAsia="SimSun" w:hAnsiTheme="minorHAnsi" w:cstheme="minorHAnsi"/>
          <w:i/>
          <w:iCs/>
          <w:sz w:val="20"/>
          <w:szCs w:val="20"/>
          <w:lang w:val="fr-CH" w:eastAsia="zh-CN"/>
        </w:rPr>
        <w:t>artículo</w:t>
      </w:r>
      <w:proofErr w:type="spellEnd"/>
      <w:r w:rsidRPr="00453BFE">
        <w:rPr>
          <w:rFonts w:asciiTheme="minorHAnsi" w:eastAsia="SimSun" w:hAnsiTheme="minorHAnsi" w:cstheme="minorHAnsi"/>
          <w:i/>
          <w:iCs/>
          <w:sz w:val="20"/>
          <w:szCs w:val="20"/>
          <w:lang w:val="fr-CH" w:eastAsia="zh-CN"/>
        </w:rPr>
        <w:t xml:space="preserve"> </w:t>
      </w:r>
      <w:proofErr w:type="spellStart"/>
      <w:r w:rsidRPr="00453BFE">
        <w:rPr>
          <w:rFonts w:asciiTheme="minorHAnsi" w:eastAsia="SimSun" w:hAnsiTheme="minorHAnsi" w:cstheme="minorHAnsi"/>
          <w:i/>
          <w:iCs/>
          <w:sz w:val="20"/>
          <w:szCs w:val="20"/>
          <w:lang w:val="fr-CH" w:eastAsia="zh-CN"/>
        </w:rPr>
        <w:t>echamos</w:t>
      </w:r>
      <w:proofErr w:type="spellEnd"/>
      <w:r w:rsidRPr="00453BFE">
        <w:rPr>
          <w:rFonts w:asciiTheme="minorHAnsi" w:eastAsia="SimSun" w:hAnsiTheme="minorHAnsi" w:cstheme="minorHAnsi"/>
          <w:i/>
          <w:iCs/>
          <w:sz w:val="20"/>
          <w:szCs w:val="20"/>
          <w:lang w:val="fr-CH" w:eastAsia="zh-CN"/>
        </w:rPr>
        <w:t xml:space="preserve"> un </w:t>
      </w:r>
      <w:proofErr w:type="spellStart"/>
      <w:r w:rsidRPr="00453BFE">
        <w:rPr>
          <w:rFonts w:asciiTheme="minorHAnsi" w:eastAsia="SimSun" w:hAnsiTheme="minorHAnsi" w:cstheme="minorHAnsi"/>
          <w:i/>
          <w:iCs/>
          <w:sz w:val="20"/>
          <w:szCs w:val="20"/>
          <w:lang w:val="fr-CH" w:eastAsia="zh-CN"/>
        </w:rPr>
        <w:t>vistazo</w:t>
      </w:r>
      <w:proofErr w:type="spellEnd"/>
      <w:r w:rsidRPr="00453BFE">
        <w:rPr>
          <w:rFonts w:asciiTheme="minorHAnsi" w:eastAsia="SimSun" w:hAnsiTheme="minorHAnsi" w:cstheme="minorHAnsi"/>
          <w:i/>
          <w:iCs/>
          <w:sz w:val="20"/>
          <w:szCs w:val="20"/>
          <w:lang w:val="fr-CH" w:eastAsia="zh-CN"/>
        </w:rPr>
        <w:t xml:space="preserve"> al panorama </w:t>
      </w:r>
      <w:proofErr w:type="spellStart"/>
      <w:r w:rsidRPr="00453BFE">
        <w:rPr>
          <w:rFonts w:asciiTheme="minorHAnsi" w:eastAsia="SimSun" w:hAnsiTheme="minorHAnsi" w:cstheme="minorHAnsi"/>
          <w:i/>
          <w:iCs/>
          <w:sz w:val="20"/>
          <w:szCs w:val="20"/>
          <w:lang w:val="fr-CH" w:eastAsia="zh-CN"/>
        </w:rPr>
        <w:t>actual</w:t>
      </w:r>
      <w:proofErr w:type="spellEnd"/>
      <w:r w:rsidRPr="00453BFE">
        <w:rPr>
          <w:rFonts w:asciiTheme="minorHAnsi" w:eastAsia="SimSun" w:hAnsiTheme="minorHAnsi" w:cstheme="minorHAnsi"/>
          <w:i/>
          <w:iCs/>
          <w:sz w:val="20"/>
          <w:szCs w:val="20"/>
          <w:lang w:val="fr-CH" w:eastAsia="zh-CN"/>
        </w:rPr>
        <w:t xml:space="preserve"> en </w:t>
      </w:r>
      <w:proofErr w:type="spellStart"/>
      <w:r w:rsidRPr="00453BFE">
        <w:rPr>
          <w:rFonts w:asciiTheme="minorHAnsi" w:eastAsia="SimSun" w:hAnsiTheme="minorHAnsi" w:cstheme="minorHAnsi"/>
          <w:i/>
          <w:iCs/>
          <w:sz w:val="20"/>
          <w:szCs w:val="20"/>
          <w:lang w:val="fr-CH" w:eastAsia="zh-CN"/>
        </w:rPr>
        <w:t>torno</w:t>
      </w:r>
      <w:proofErr w:type="spellEnd"/>
      <w:r w:rsidRPr="00453BFE">
        <w:rPr>
          <w:rFonts w:asciiTheme="minorHAnsi" w:eastAsia="SimSun" w:hAnsiTheme="minorHAnsi" w:cstheme="minorHAnsi"/>
          <w:i/>
          <w:iCs/>
          <w:sz w:val="20"/>
          <w:szCs w:val="20"/>
          <w:lang w:val="fr-CH" w:eastAsia="zh-CN"/>
        </w:rPr>
        <w:t xml:space="preserve"> a la </w:t>
      </w:r>
      <w:proofErr w:type="spellStart"/>
      <w:r w:rsidRPr="00453BFE">
        <w:rPr>
          <w:rFonts w:asciiTheme="minorHAnsi" w:eastAsia="SimSun" w:hAnsiTheme="minorHAnsi" w:cstheme="minorHAnsi"/>
          <w:i/>
          <w:iCs/>
          <w:sz w:val="20"/>
          <w:szCs w:val="20"/>
          <w:lang w:val="fr-CH" w:eastAsia="zh-CN"/>
        </w:rPr>
        <w:t>sostenibilidad</w:t>
      </w:r>
      <w:proofErr w:type="spellEnd"/>
      <w:r w:rsidRPr="00453BFE">
        <w:rPr>
          <w:rFonts w:asciiTheme="minorHAnsi" w:eastAsia="SimSun" w:hAnsiTheme="minorHAnsi" w:cstheme="minorHAnsi"/>
          <w:i/>
          <w:iCs/>
          <w:sz w:val="20"/>
          <w:szCs w:val="20"/>
          <w:lang w:val="fr-CH" w:eastAsia="zh-CN"/>
        </w:rPr>
        <w:t xml:space="preserve">, y </w:t>
      </w:r>
      <w:proofErr w:type="spellStart"/>
      <w:r w:rsidRPr="00453BFE">
        <w:rPr>
          <w:rFonts w:asciiTheme="minorHAnsi" w:eastAsia="SimSun" w:hAnsiTheme="minorHAnsi" w:cstheme="minorHAnsi"/>
          <w:i/>
          <w:iCs/>
          <w:sz w:val="20"/>
          <w:szCs w:val="20"/>
          <w:lang w:val="fr-CH" w:eastAsia="zh-CN"/>
        </w:rPr>
        <w:t>cómo</w:t>
      </w:r>
      <w:proofErr w:type="spellEnd"/>
      <w:r w:rsidRPr="00453BFE">
        <w:rPr>
          <w:rFonts w:asciiTheme="minorHAnsi" w:eastAsia="SimSun" w:hAnsiTheme="minorHAnsi" w:cstheme="minorHAnsi"/>
          <w:i/>
          <w:iCs/>
          <w:sz w:val="20"/>
          <w:szCs w:val="20"/>
          <w:lang w:val="fr-CH" w:eastAsia="zh-CN"/>
        </w:rPr>
        <w:t xml:space="preserve"> </w:t>
      </w:r>
      <w:proofErr w:type="spellStart"/>
      <w:r w:rsidRPr="00453BFE">
        <w:rPr>
          <w:rFonts w:asciiTheme="minorHAnsi" w:eastAsia="SimSun" w:hAnsiTheme="minorHAnsi" w:cstheme="minorHAnsi"/>
          <w:i/>
          <w:iCs/>
          <w:sz w:val="20"/>
          <w:szCs w:val="20"/>
          <w:lang w:val="fr-CH" w:eastAsia="zh-CN"/>
        </w:rPr>
        <w:t>nuestra</w:t>
      </w:r>
      <w:proofErr w:type="spellEnd"/>
      <w:r w:rsidRPr="00453BFE">
        <w:rPr>
          <w:rFonts w:asciiTheme="minorHAnsi" w:eastAsia="SimSun" w:hAnsiTheme="minorHAnsi" w:cstheme="minorHAnsi"/>
          <w:i/>
          <w:iCs/>
          <w:sz w:val="20"/>
          <w:szCs w:val="20"/>
          <w:lang w:val="fr-CH" w:eastAsia="zh-CN"/>
        </w:rPr>
        <w:t xml:space="preserve"> </w:t>
      </w:r>
      <w:proofErr w:type="spellStart"/>
      <w:r w:rsidRPr="00453BFE">
        <w:rPr>
          <w:rFonts w:asciiTheme="minorHAnsi" w:eastAsia="SimSun" w:hAnsiTheme="minorHAnsi" w:cstheme="minorHAnsi"/>
          <w:i/>
          <w:iCs/>
          <w:sz w:val="20"/>
          <w:szCs w:val="20"/>
          <w:lang w:val="fr-CH" w:eastAsia="zh-CN"/>
        </w:rPr>
        <w:t>respuesta</w:t>
      </w:r>
      <w:proofErr w:type="spellEnd"/>
      <w:r w:rsidRPr="00453BFE">
        <w:rPr>
          <w:rFonts w:asciiTheme="minorHAnsi" w:eastAsia="SimSun" w:hAnsiTheme="minorHAnsi" w:cstheme="minorHAnsi"/>
          <w:i/>
          <w:iCs/>
          <w:sz w:val="20"/>
          <w:szCs w:val="20"/>
          <w:lang w:val="fr-CH" w:eastAsia="zh-CN"/>
        </w:rPr>
        <w:t xml:space="preserve"> en BOBST ha </w:t>
      </w:r>
      <w:proofErr w:type="spellStart"/>
      <w:r w:rsidRPr="00453BFE">
        <w:rPr>
          <w:rFonts w:asciiTheme="minorHAnsi" w:eastAsia="SimSun" w:hAnsiTheme="minorHAnsi" w:cstheme="minorHAnsi"/>
          <w:i/>
          <w:iCs/>
          <w:sz w:val="20"/>
          <w:szCs w:val="20"/>
          <w:lang w:val="fr-CH" w:eastAsia="zh-CN"/>
        </w:rPr>
        <w:t>evolucionado</w:t>
      </w:r>
      <w:proofErr w:type="spellEnd"/>
      <w:r w:rsidRPr="00453BFE">
        <w:rPr>
          <w:rFonts w:asciiTheme="minorHAnsi" w:eastAsia="SimSun" w:hAnsiTheme="minorHAnsi" w:cstheme="minorHAnsi"/>
          <w:i/>
          <w:iCs/>
          <w:sz w:val="20"/>
          <w:szCs w:val="20"/>
          <w:lang w:val="fr-CH" w:eastAsia="zh-CN"/>
        </w:rPr>
        <w:t xml:space="preserve"> </w:t>
      </w:r>
      <w:proofErr w:type="spellStart"/>
      <w:r w:rsidRPr="00453BFE">
        <w:rPr>
          <w:rFonts w:asciiTheme="minorHAnsi" w:eastAsia="SimSun" w:hAnsiTheme="minorHAnsi" w:cstheme="minorHAnsi"/>
          <w:i/>
          <w:iCs/>
          <w:sz w:val="20"/>
          <w:szCs w:val="20"/>
          <w:lang w:val="fr-CH" w:eastAsia="zh-CN"/>
        </w:rPr>
        <w:t>rápidamente</w:t>
      </w:r>
      <w:proofErr w:type="spellEnd"/>
      <w:r w:rsidRPr="00453BFE">
        <w:rPr>
          <w:rFonts w:asciiTheme="minorHAnsi" w:eastAsia="SimSun" w:hAnsiTheme="minorHAnsi" w:cstheme="minorHAnsi"/>
          <w:i/>
          <w:iCs/>
          <w:sz w:val="20"/>
          <w:szCs w:val="20"/>
          <w:lang w:val="fr-CH" w:eastAsia="zh-CN"/>
        </w:rPr>
        <w:t xml:space="preserve"> en los </w:t>
      </w:r>
      <w:proofErr w:type="spellStart"/>
      <w:r w:rsidRPr="00453BFE">
        <w:rPr>
          <w:rFonts w:asciiTheme="minorHAnsi" w:eastAsia="SimSun" w:hAnsiTheme="minorHAnsi" w:cstheme="minorHAnsi"/>
          <w:i/>
          <w:iCs/>
          <w:sz w:val="20"/>
          <w:szCs w:val="20"/>
          <w:lang w:val="fr-CH" w:eastAsia="zh-CN"/>
        </w:rPr>
        <w:t>últimos</w:t>
      </w:r>
      <w:proofErr w:type="spellEnd"/>
      <w:r w:rsidRPr="00453BFE">
        <w:rPr>
          <w:rFonts w:asciiTheme="minorHAnsi" w:eastAsia="SimSun" w:hAnsiTheme="minorHAnsi" w:cstheme="minorHAnsi"/>
          <w:i/>
          <w:iCs/>
          <w:sz w:val="20"/>
          <w:szCs w:val="20"/>
          <w:lang w:val="fr-CH" w:eastAsia="zh-CN"/>
        </w:rPr>
        <w:t xml:space="preserve"> </w:t>
      </w:r>
      <w:proofErr w:type="spellStart"/>
      <w:r w:rsidRPr="00453BFE">
        <w:rPr>
          <w:rFonts w:asciiTheme="minorHAnsi" w:eastAsia="SimSun" w:hAnsiTheme="minorHAnsi" w:cstheme="minorHAnsi"/>
          <w:i/>
          <w:iCs/>
          <w:sz w:val="20"/>
          <w:szCs w:val="20"/>
          <w:lang w:val="fr-CH" w:eastAsia="zh-CN"/>
        </w:rPr>
        <w:t>años</w:t>
      </w:r>
      <w:proofErr w:type="spellEnd"/>
      <w:r w:rsidRPr="00453BFE">
        <w:rPr>
          <w:rFonts w:asciiTheme="minorHAnsi" w:eastAsia="SimSun" w:hAnsiTheme="minorHAnsi" w:cstheme="minorHAnsi"/>
          <w:i/>
          <w:iCs/>
          <w:sz w:val="20"/>
          <w:szCs w:val="20"/>
          <w:lang w:val="fr-CH" w:eastAsia="zh-CN"/>
        </w:rPr>
        <w:t xml:space="preserve">. </w:t>
      </w:r>
    </w:p>
    <w:p w14:paraId="26BA9F4C" w14:textId="77777777" w:rsidR="00B82E17" w:rsidRPr="00B82E17" w:rsidRDefault="00B82E17" w:rsidP="00B82E17">
      <w:pPr>
        <w:spacing w:line="240" w:lineRule="auto"/>
        <w:rPr>
          <w:rFonts w:eastAsia="Arial" w:cs="Arial"/>
          <w:sz w:val="20"/>
          <w:szCs w:val="20"/>
          <w:lang w:val="es-ES" w:bidi="es-ES"/>
        </w:rPr>
      </w:pPr>
    </w:p>
    <w:p w14:paraId="3C7BAE7D" w14:textId="77777777" w:rsidR="00B82E17" w:rsidRDefault="00B82E17" w:rsidP="00B82E17">
      <w:pPr>
        <w:spacing w:line="240" w:lineRule="auto"/>
        <w:rPr>
          <w:rFonts w:eastAsia="Arial" w:cs="Arial"/>
          <w:sz w:val="20"/>
          <w:szCs w:val="20"/>
          <w:lang w:val="es-ES" w:bidi="es-ES"/>
        </w:rPr>
      </w:pPr>
      <w:r w:rsidRPr="00B82E17">
        <w:rPr>
          <w:rFonts w:eastAsia="Arial" w:cs="Arial"/>
          <w:sz w:val="20"/>
          <w:szCs w:val="20"/>
          <w:lang w:val="es-ES" w:bidi="es-ES"/>
        </w:rPr>
        <w:t>La sostenibilidad ha sido durante muchos años el foco de atención de la industria de los embalajes, pero es posible que estemos llegando a un periodo crucial en este sentido.</w:t>
      </w:r>
    </w:p>
    <w:p w14:paraId="5250541D" w14:textId="6A3CE074"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 </w:t>
      </w:r>
    </w:p>
    <w:p w14:paraId="6EB7BF96" w14:textId="58F504A3" w:rsidR="00B82E17" w:rsidRPr="00453BFE" w:rsidRDefault="00B82E17" w:rsidP="00B82E17">
      <w:pPr>
        <w:spacing w:line="240" w:lineRule="auto"/>
        <w:rPr>
          <w:rFonts w:cs="Arial"/>
          <w:color w:val="2C2C2C" w:themeColor="text1" w:themeShade="80"/>
          <w:sz w:val="20"/>
          <w:szCs w:val="20"/>
          <w:lang w:val="es-ES"/>
        </w:rPr>
      </w:pPr>
      <w:r w:rsidRPr="00B82E17">
        <w:rPr>
          <w:rFonts w:eastAsia="Arial" w:cs="Arial"/>
          <w:sz w:val="20"/>
          <w:szCs w:val="20"/>
          <w:lang w:val="es-ES" w:bidi="es-ES"/>
        </w:rPr>
        <w:t xml:space="preserve">Estamos a un año de 2025, que ha sido la meta para muchos objetivos de sostenibilidad de cientos de grandes y pequeñas empresas. Uno de ellos es el famoso </w:t>
      </w:r>
      <w:hyperlink r:id="rId8" w:history="1">
        <w:r w:rsidRPr="00453BFE">
          <w:rPr>
            <w:rStyle w:val="Hyperlink"/>
            <w:rFonts w:eastAsia="Arial" w:cs="Arial"/>
            <w:color w:val="2C2C2C" w:themeColor="text1" w:themeShade="80"/>
            <w:sz w:val="20"/>
            <w:szCs w:val="20"/>
            <w:u w:val="none"/>
            <w:lang w:val="es-ES" w:bidi="es-ES"/>
          </w:rPr>
          <w:t>Compromiso Global</w:t>
        </w:r>
      </w:hyperlink>
      <w:r w:rsidRPr="00453BFE">
        <w:rPr>
          <w:rFonts w:eastAsia="Arial" w:cs="Arial"/>
          <w:color w:val="2C2C2C" w:themeColor="text1" w:themeShade="80"/>
          <w:sz w:val="20"/>
          <w:szCs w:val="20"/>
          <w:lang w:val="es-ES" w:bidi="es-ES"/>
        </w:rPr>
        <w:t>, liderado por la Fundación Ellen MacArthur en colaboración con el Programa de las Naciones Unidas para el Medio Ambiente, que unió a más de 500 organizaciones en torno a una visión común de la economía circular en relación con los plásticos. A pesar de que se han logrado algunos avances fantásticos —una evaluación reciente concluyó que aquellas empresas que firmaron el compromiso han superado significativamente a sus homólogas en la gestión de los residuos de plástico</w:t>
      </w:r>
      <w:r w:rsidRPr="00453BFE">
        <w:rPr>
          <w:rStyle w:val="FootnoteReference"/>
          <w:rFonts w:eastAsia="Arial" w:cs="Arial"/>
          <w:color w:val="2C2C2C" w:themeColor="text1" w:themeShade="80"/>
          <w:sz w:val="20"/>
          <w:szCs w:val="20"/>
          <w:lang w:val="es-ES" w:bidi="es-ES"/>
        </w:rPr>
        <w:footnoteReference w:id="1"/>
      </w:r>
      <w:r w:rsidRPr="00453BFE">
        <w:rPr>
          <w:rFonts w:eastAsia="Arial" w:cs="Arial"/>
          <w:color w:val="2C2C2C" w:themeColor="text1" w:themeShade="80"/>
          <w:sz w:val="20"/>
          <w:szCs w:val="20"/>
          <w:lang w:val="es-ES" w:bidi="es-ES"/>
        </w:rPr>
        <w:t xml:space="preserve">—, muchos de los ambiciosos objetivos para 2025 quedarán aún pendientes. </w:t>
      </w:r>
    </w:p>
    <w:p w14:paraId="7BCFD093" w14:textId="77777777" w:rsidR="00453BFE" w:rsidRPr="00453BFE" w:rsidRDefault="00453BFE" w:rsidP="00B82E17">
      <w:pPr>
        <w:spacing w:line="240" w:lineRule="auto"/>
        <w:rPr>
          <w:rFonts w:eastAsia="Arial" w:cs="Arial"/>
          <w:color w:val="2C2C2C" w:themeColor="text1" w:themeShade="80"/>
          <w:sz w:val="20"/>
          <w:szCs w:val="20"/>
          <w:lang w:val="es-ES" w:bidi="es-ES"/>
        </w:rPr>
      </w:pPr>
    </w:p>
    <w:p w14:paraId="0C20A215" w14:textId="0F842B90" w:rsidR="00D13AC6" w:rsidRPr="00DC705D" w:rsidRDefault="00D13AC6" w:rsidP="00453BFE">
      <w:pPr>
        <w:spacing w:after="160" w:line="259" w:lineRule="auto"/>
        <w:rPr>
          <w:rFonts w:asciiTheme="minorHAnsi" w:eastAsia="Aptos" w:hAnsiTheme="minorHAnsi" w:cstheme="minorHAnsi"/>
          <w:kern w:val="2"/>
          <w:sz w:val="20"/>
          <w:szCs w:val="20"/>
          <w:lang w:val="es-ES"/>
          <w14:ligatures w14:val="standardContextual"/>
        </w:rPr>
      </w:pPr>
      <w:r w:rsidRPr="00D13AC6">
        <w:rPr>
          <w:rFonts w:asciiTheme="minorHAnsi" w:eastAsia="Arial" w:hAnsiTheme="minorHAnsi" w:cstheme="minorHAnsi"/>
          <w:kern w:val="2"/>
          <w:sz w:val="20"/>
          <w:szCs w:val="20"/>
          <w:lang w:val="es-ES" w:bidi="es-ES"/>
          <w14:ligatures w14:val="standardContextual"/>
        </w:rPr>
        <w:t xml:space="preserve">El 24 de abril, el Parlamento Europeo adoptó el </w:t>
      </w:r>
      <w:hyperlink r:id="rId9" w:history="1">
        <w:r w:rsidRPr="00D13AC6">
          <w:rPr>
            <w:rFonts w:asciiTheme="minorHAnsi" w:eastAsia="Arial" w:hAnsiTheme="minorHAnsi" w:cstheme="minorHAnsi"/>
            <w:color w:val="000000"/>
            <w:kern w:val="2"/>
            <w:sz w:val="20"/>
            <w:szCs w:val="20"/>
            <w:lang w:val="es-ES" w:bidi="es-ES"/>
            <w14:ligatures w14:val="standardContextual"/>
          </w:rPr>
          <w:t xml:space="preserve">Reglamento sobre envases y residuos (Packaging and Packaging </w:t>
        </w:r>
        <w:proofErr w:type="spellStart"/>
        <w:r w:rsidRPr="00D13AC6">
          <w:rPr>
            <w:rFonts w:asciiTheme="minorHAnsi" w:eastAsia="Arial" w:hAnsiTheme="minorHAnsi" w:cstheme="minorHAnsi"/>
            <w:color w:val="000000"/>
            <w:kern w:val="2"/>
            <w:sz w:val="20"/>
            <w:szCs w:val="20"/>
            <w:lang w:val="es-ES" w:bidi="es-ES"/>
            <w14:ligatures w14:val="standardContextual"/>
          </w:rPr>
          <w:t>Waste</w:t>
        </w:r>
        <w:proofErr w:type="spellEnd"/>
        <w:r w:rsidRPr="00D13AC6">
          <w:rPr>
            <w:rFonts w:asciiTheme="minorHAnsi" w:eastAsia="Arial" w:hAnsiTheme="minorHAnsi" w:cstheme="minorHAnsi"/>
            <w:color w:val="000000"/>
            <w:kern w:val="2"/>
            <w:sz w:val="20"/>
            <w:szCs w:val="20"/>
            <w:lang w:val="es-ES" w:bidi="es-ES"/>
            <w14:ligatures w14:val="standardContextual"/>
          </w:rPr>
          <w:t xml:space="preserve"> </w:t>
        </w:r>
        <w:proofErr w:type="spellStart"/>
        <w:r w:rsidRPr="00D13AC6">
          <w:rPr>
            <w:rFonts w:asciiTheme="minorHAnsi" w:eastAsia="Arial" w:hAnsiTheme="minorHAnsi" w:cstheme="minorHAnsi"/>
            <w:color w:val="000000"/>
            <w:kern w:val="2"/>
            <w:sz w:val="20"/>
            <w:szCs w:val="20"/>
            <w:lang w:val="es-ES" w:bidi="es-ES"/>
            <w14:ligatures w14:val="standardContextual"/>
          </w:rPr>
          <w:t>Regulation</w:t>
        </w:r>
        <w:proofErr w:type="spellEnd"/>
        <w:r w:rsidRPr="00D13AC6">
          <w:rPr>
            <w:rFonts w:asciiTheme="minorHAnsi" w:eastAsia="Arial" w:hAnsiTheme="minorHAnsi" w:cstheme="minorHAnsi"/>
            <w:color w:val="000000"/>
            <w:kern w:val="2"/>
            <w:sz w:val="20"/>
            <w:szCs w:val="20"/>
            <w:lang w:val="es-ES" w:bidi="es-ES"/>
            <w14:ligatures w14:val="standardContextual"/>
          </w:rPr>
          <w:t xml:space="preserve"> “PPWR</w:t>
        </w:r>
      </w:hyperlink>
      <w:r w:rsidRPr="00D13AC6">
        <w:rPr>
          <w:rFonts w:asciiTheme="minorHAnsi" w:eastAsia="Arial" w:hAnsiTheme="minorHAnsi" w:cstheme="minorHAnsi"/>
          <w:color w:val="000000"/>
          <w:kern w:val="2"/>
          <w:sz w:val="20"/>
          <w:szCs w:val="20"/>
          <w:lang w:val="es-ES" w:bidi="es-ES"/>
          <w14:ligatures w14:val="standardContextual"/>
        </w:rPr>
        <w:t>”</w:t>
      </w:r>
      <w:hyperlink r:id="rId10" w:history="1">
        <w:r w:rsidRPr="00D13AC6">
          <w:rPr>
            <w:rFonts w:asciiTheme="minorHAnsi" w:eastAsia="Arial" w:hAnsiTheme="minorHAnsi" w:cstheme="minorHAnsi"/>
            <w:color w:val="000000"/>
            <w:kern w:val="2"/>
            <w:sz w:val="20"/>
            <w:szCs w:val="20"/>
            <w:lang w:val="es-ES" w:bidi="es-ES"/>
            <w14:ligatures w14:val="standardContextual"/>
          </w:rPr>
          <w:t>)</w:t>
        </w:r>
      </w:hyperlink>
      <w:r w:rsidRPr="00D13AC6">
        <w:rPr>
          <w:rFonts w:asciiTheme="minorHAnsi" w:eastAsia="Arial" w:hAnsiTheme="minorHAnsi" w:cstheme="minorHAnsi"/>
          <w:color w:val="000000"/>
          <w:kern w:val="2"/>
          <w:sz w:val="20"/>
          <w:szCs w:val="20"/>
          <w:lang w:val="es-ES" w:bidi="es-ES"/>
          <w14:ligatures w14:val="standardContextual"/>
        </w:rPr>
        <w:t xml:space="preserve">, </w:t>
      </w:r>
      <w:r w:rsidRPr="00D13AC6">
        <w:rPr>
          <w:rFonts w:asciiTheme="minorHAnsi" w:eastAsia="Arial" w:hAnsiTheme="minorHAnsi" w:cstheme="minorHAnsi"/>
          <w:kern w:val="2"/>
          <w:sz w:val="20"/>
          <w:szCs w:val="20"/>
          <w:lang w:val="es-ES" w:bidi="es-ES"/>
          <w14:ligatures w14:val="standardContextual"/>
        </w:rPr>
        <w:t>que incluye objetivos de reducción de envases, restricciones sobre los embalajes de un solo uso, algunos objetivos de reutilización, y más. El PPWR, ahora en la etapa final de verificaciones legales y validación, también reitera que todos los embalajes comercializados en la UE deben ser reciclables.</w:t>
      </w:r>
    </w:p>
    <w:p w14:paraId="532C7EE0" w14:textId="18F5C197"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drupa 2024 ha convertido la sostenibilidad en </w:t>
      </w:r>
      <w:proofErr w:type="gramStart"/>
      <w:r w:rsidRPr="00B82E17">
        <w:rPr>
          <w:rFonts w:eastAsia="Arial" w:cs="Arial"/>
          <w:sz w:val="20"/>
          <w:szCs w:val="20"/>
          <w:lang w:val="es-ES" w:bidi="es-ES"/>
        </w:rPr>
        <w:t>una</w:t>
      </w:r>
      <w:proofErr w:type="gramEnd"/>
      <w:r w:rsidRPr="00B82E17">
        <w:rPr>
          <w:rFonts w:eastAsia="Arial" w:cs="Arial"/>
          <w:sz w:val="20"/>
          <w:szCs w:val="20"/>
          <w:lang w:val="es-ES" w:bidi="es-ES"/>
        </w:rPr>
        <w:t xml:space="preserve"> de sus dos «megatendencias», junto con la digitalización. Según drupa, estas dos megatendencias van de la mano porque «la Industria 4.0 es la clave para una producción sostenible en la industria de la impresión y de los embalajes en general.» </w:t>
      </w:r>
    </w:p>
    <w:p w14:paraId="510D99E8" w14:textId="77777777" w:rsidR="00B82E17" w:rsidRDefault="00B82E17" w:rsidP="00B82E17">
      <w:pPr>
        <w:spacing w:line="240" w:lineRule="auto"/>
        <w:rPr>
          <w:rFonts w:eastAsia="Arial" w:cs="Arial"/>
          <w:sz w:val="20"/>
          <w:szCs w:val="20"/>
          <w:lang w:val="es-ES" w:bidi="es-ES"/>
        </w:rPr>
      </w:pPr>
    </w:p>
    <w:p w14:paraId="6D0C3449" w14:textId="3C9C3E44"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En BOBST estamos de acuerdo. Los cuatro pilares de nuestra visión de la industria —digitalización, automatización, conectividad y sostenibilidad— incluyen las dos megatendencias. De hecho, ambas se hacen posibles mutuamente y juntas permiten un gran progreso en nuestra industria.</w:t>
      </w:r>
    </w:p>
    <w:p w14:paraId="64485D57" w14:textId="77777777" w:rsidR="00B82E17" w:rsidRDefault="00B82E17" w:rsidP="00B82E17">
      <w:pPr>
        <w:spacing w:line="240" w:lineRule="auto"/>
        <w:rPr>
          <w:rFonts w:eastAsia="Arial" w:cs="Arial"/>
          <w:sz w:val="20"/>
          <w:szCs w:val="20"/>
          <w:lang w:val="es-ES" w:bidi="es-ES"/>
        </w:rPr>
      </w:pPr>
    </w:p>
    <w:p w14:paraId="083EB75B" w14:textId="11D64601"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La sostenibilidad es un tema muy amplio, con múltiples facetas, que no tiene soluciones fáciles. Cada empresa, de manera independiente o en colaboración con sus proveedores, clientes y otras empresas, debe identificar los puntos en los que pueden hacer más avances. </w:t>
      </w:r>
    </w:p>
    <w:p w14:paraId="5CF8664D" w14:textId="77777777" w:rsidR="00B82E17" w:rsidRDefault="00B82E17" w:rsidP="00B82E17">
      <w:pPr>
        <w:spacing w:line="240" w:lineRule="auto"/>
        <w:rPr>
          <w:rFonts w:eastAsia="Arial" w:cs="Arial"/>
          <w:sz w:val="20"/>
          <w:szCs w:val="20"/>
          <w:lang w:val="es-ES" w:bidi="es-ES"/>
        </w:rPr>
      </w:pPr>
    </w:p>
    <w:p w14:paraId="690CC1A6" w14:textId="4731CFA9"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Como líderes en la industria de los embalajes, sabemos que tenemos una responsabilidad, no solo de comprometernos con la sostenibilidad, sino de innovar realmente en este ámbito. Creemos que estamos lográndolo en los tres canales definidos: nuestras operaciones, nuestro equipamiento y el uso y el final de la vida útil de los embalajes. Las innovaciones que hagamos aquí ayudarán a cambiar la forma de producir los embalajes con el fin de garantizar la reducción de los residuos, aumentar la eficiencia, el cumplimiento de la normativa más reciente, y el desarrollo de soluciones de embalaje más ecológicas.</w:t>
      </w:r>
    </w:p>
    <w:p w14:paraId="10EFE921" w14:textId="77777777" w:rsidR="00B82E17" w:rsidRDefault="00B82E17" w:rsidP="00B82E17">
      <w:pPr>
        <w:spacing w:line="240" w:lineRule="auto"/>
        <w:rPr>
          <w:rFonts w:eastAsia="Arial" w:cs="Arial"/>
          <w:sz w:val="20"/>
          <w:szCs w:val="20"/>
          <w:lang w:val="es-ES" w:bidi="es-ES"/>
        </w:rPr>
      </w:pPr>
    </w:p>
    <w:p w14:paraId="296DE1DC" w14:textId="407984FE"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lastRenderedPageBreak/>
        <w:t>Nos hemos unido a la iniciativa Science-Based Targets initiative (SBTi) en 2022, que refuerza nuestro compromiso con la urgente acción climática. Hemos formalizado claramente los objetivos de la empresa y las opciones de descarbonización, no solo de nuestras actividades operativas, sino también en relación con nuestro impacto en las actividades anteriores y posteriores, para reducir nuestra huella de carbono. Ahora, nuestros objetivos SBTi han sido validados y confirmados como estar en línea con el objetivo de limitar el calentamiento global a 1,5°C según lo decretado en el Acuerdo de París.</w:t>
      </w:r>
    </w:p>
    <w:p w14:paraId="54372892" w14:textId="77777777" w:rsidR="00B82E17" w:rsidRDefault="00B82E17" w:rsidP="00B82E17">
      <w:pPr>
        <w:spacing w:line="240" w:lineRule="auto"/>
        <w:rPr>
          <w:rFonts w:eastAsia="Arial" w:cs="Arial"/>
          <w:b/>
          <w:sz w:val="20"/>
          <w:szCs w:val="20"/>
          <w:lang w:val="es-ES" w:bidi="es-ES"/>
        </w:rPr>
      </w:pPr>
    </w:p>
    <w:p w14:paraId="777E859E" w14:textId="5ECF5D32" w:rsidR="00B82E17" w:rsidRPr="00B82E17" w:rsidRDefault="00B82E17" w:rsidP="00B82E17">
      <w:pPr>
        <w:spacing w:line="240" w:lineRule="auto"/>
        <w:rPr>
          <w:rFonts w:cs="Arial"/>
          <w:b/>
          <w:bCs/>
          <w:sz w:val="20"/>
          <w:szCs w:val="20"/>
          <w:lang w:val="es-ES"/>
        </w:rPr>
      </w:pPr>
      <w:r w:rsidRPr="00B82E17">
        <w:rPr>
          <w:rFonts w:eastAsia="Arial" w:cs="Arial"/>
          <w:b/>
          <w:sz w:val="20"/>
          <w:szCs w:val="20"/>
          <w:lang w:val="es-ES" w:bidi="es-ES"/>
        </w:rPr>
        <w:t xml:space="preserve">Optimizar las operaciones </w:t>
      </w:r>
    </w:p>
    <w:p w14:paraId="4F01FA9E" w14:textId="77777777" w:rsidR="00B82E17" w:rsidRDefault="00B82E17" w:rsidP="00B82E17">
      <w:pPr>
        <w:spacing w:line="240" w:lineRule="auto"/>
        <w:rPr>
          <w:rFonts w:eastAsia="Arial" w:cs="Arial"/>
          <w:sz w:val="20"/>
          <w:szCs w:val="20"/>
          <w:lang w:val="es-ES" w:bidi="es-ES"/>
        </w:rPr>
      </w:pPr>
    </w:p>
    <w:p w14:paraId="4BD8F04A" w14:textId="631C47F9"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Obviamente, las empresas son las que más pueden controlar directamente sus propias operaciones, y esta ha sido un área de atención importante para BOBST en los últimos años. </w:t>
      </w:r>
    </w:p>
    <w:p w14:paraId="65B29FC8" w14:textId="77777777" w:rsidR="00B82E17" w:rsidRDefault="00B82E17" w:rsidP="00B82E17">
      <w:pPr>
        <w:spacing w:line="240" w:lineRule="auto"/>
        <w:rPr>
          <w:rFonts w:eastAsia="Arial" w:cs="Arial"/>
          <w:sz w:val="20"/>
          <w:szCs w:val="20"/>
          <w:lang w:val="es-ES" w:bidi="es-ES"/>
        </w:rPr>
      </w:pPr>
    </w:p>
    <w:p w14:paraId="5C872451" w14:textId="19F84D1A"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Nuestros objetivos en este sentido son ambiciosos, e incluyen una reducción del 42 % de la huella de carbono en nuestras operaciones para 2030, pero refleja la velocidad a la que debe descarbonizarse el mundo. No podemos permitirnos tardar tanto.</w:t>
      </w:r>
    </w:p>
    <w:p w14:paraId="30BAE0F2" w14:textId="77777777" w:rsidR="00B82E17" w:rsidRDefault="00B82E17" w:rsidP="00B82E17">
      <w:pPr>
        <w:spacing w:line="240" w:lineRule="auto"/>
        <w:rPr>
          <w:rFonts w:eastAsia="Arial" w:cs="Arial"/>
          <w:sz w:val="20"/>
          <w:szCs w:val="20"/>
          <w:lang w:val="es-ES" w:bidi="es-ES"/>
        </w:rPr>
      </w:pPr>
    </w:p>
    <w:p w14:paraId="478924AC" w14:textId="10A8A47C"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Y con la ambición llega un mayor potencial de progreso. </w:t>
      </w:r>
    </w:p>
    <w:p w14:paraId="1D8F07A3" w14:textId="77777777" w:rsidR="00B82E17" w:rsidRDefault="00B82E17" w:rsidP="00B82E17">
      <w:pPr>
        <w:spacing w:line="240" w:lineRule="auto"/>
        <w:rPr>
          <w:rFonts w:eastAsia="Arial" w:cs="Arial"/>
          <w:sz w:val="20"/>
          <w:szCs w:val="20"/>
          <w:lang w:val="es-ES" w:bidi="es-ES"/>
        </w:rPr>
      </w:pPr>
    </w:p>
    <w:p w14:paraId="7350ADE0" w14:textId="0C546ABA"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En 2021, tuvimos una evaluación inicial realizada</w:t>
      </w:r>
      <w:r w:rsidRPr="00896430">
        <w:rPr>
          <w:rFonts w:eastAsia="Arial" w:cs="Arial"/>
          <w:color w:val="2C2C2C" w:themeColor="text1" w:themeShade="80"/>
          <w:sz w:val="20"/>
          <w:szCs w:val="20"/>
          <w:lang w:val="es-ES" w:bidi="es-ES"/>
        </w:rPr>
        <w:t xml:space="preserve"> por </w:t>
      </w:r>
      <w:hyperlink r:id="rId11" w:history="1">
        <w:proofErr w:type="spellStart"/>
        <w:r w:rsidRPr="00896430">
          <w:rPr>
            <w:rStyle w:val="Hyperlink"/>
            <w:rFonts w:eastAsia="Arial" w:cs="Arial"/>
            <w:color w:val="2C2C2C" w:themeColor="text1" w:themeShade="80"/>
            <w:sz w:val="20"/>
            <w:szCs w:val="20"/>
            <w:u w:val="none"/>
            <w:lang w:val="es-ES" w:bidi="es-ES"/>
          </w:rPr>
          <w:t>EcoVadis</w:t>
        </w:r>
        <w:proofErr w:type="spellEnd"/>
      </w:hyperlink>
      <w:r w:rsidRPr="00B82E17">
        <w:rPr>
          <w:rFonts w:eastAsia="Arial" w:cs="Arial"/>
          <w:sz w:val="20"/>
          <w:szCs w:val="20"/>
          <w:lang w:val="es-ES" w:bidi="es-ES"/>
        </w:rPr>
        <w:t xml:space="preserve">, el proveedor más importante y fidedigno de calificación de la sostenibilidad empresarial. Tras la primera evaluación que nos hicieron, definimos nuestro programa de sostenibilidad. Con nuestra segunda calificación de 49 puntos, recibimos una medalla de bronce. </w:t>
      </w:r>
    </w:p>
    <w:p w14:paraId="026DE4DF" w14:textId="77777777" w:rsidR="00B82E17" w:rsidRDefault="00B82E17" w:rsidP="00B82E17">
      <w:pPr>
        <w:spacing w:line="240" w:lineRule="auto"/>
        <w:rPr>
          <w:rFonts w:eastAsia="Arial" w:cs="Arial"/>
          <w:sz w:val="20"/>
          <w:szCs w:val="20"/>
          <w:lang w:val="es-ES" w:bidi="es-ES"/>
        </w:rPr>
      </w:pPr>
    </w:p>
    <w:p w14:paraId="792B70F1" w14:textId="1324B62F"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En 2023 obtuvimos nuestras tercera y última calificación de 63 puntos, que nos otorgó la medalla de plata. Esto sitúa a BOBST entre el 20% de las mejores empresas en materia de sostenibilidad. Por supuesto que no hemos terminado, todavía tenemos que mejorar mucho. Pero realizando grandes progresos en nuestras propias operaciones, contamos con una buena base para lograr la sostenibilidad. </w:t>
      </w:r>
    </w:p>
    <w:p w14:paraId="78A5BA72" w14:textId="77777777" w:rsidR="00B82E17" w:rsidRDefault="00B82E17" w:rsidP="00B82E17">
      <w:pPr>
        <w:spacing w:line="240" w:lineRule="auto"/>
        <w:rPr>
          <w:rFonts w:eastAsia="Arial" w:cs="Arial"/>
          <w:b/>
          <w:sz w:val="20"/>
          <w:szCs w:val="20"/>
          <w:lang w:val="es-ES" w:bidi="es-ES"/>
        </w:rPr>
      </w:pPr>
    </w:p>
    <w:p w14:paraId="1298D673" w14:textId="4CF1F08A" w:rsidR="00B82E17" w:rsidRPr="00B82E17" w:rsidRDefault="00B82E17" w:rsidP="00B82E17">
      <w:pPr>
        <w:spacing w:line="240" w:lineRule="auto"/>
        <w:rPr>
          <w:rFonts w:cs="Arial"/>
          <w:b/>
          <w:bCs/>
          <w:sz w:val="20"/>
          <w:szCs w:val="20"/>
          <w:lang w:val="es-ES"/>
        </w:rPr>
      </w:pPr>
      <w:r w:rsidRPr="00B82E17">
        <w:rPr>
          <w:rFonts w:eastAsia="Arial" w:cs="Arial"/>
          <w:b/>
          <w:sz w:val="20"/>
          <w:szCs w:val="20"/>
          <w:lang w:val="es-ES" w:bidi="es-ES"/>
        </w:rPr>
        <w:t>Mejorar el equipamiento</w:t>
      </w:r>
    </w:p>
    <w:p w14:paraId="4311F337" w14:textId="77777777" w:rsidR="00B82E17" w:rsidRDefault="00B82E17" w:rsidP="00B82E17">
      <w:pPr>
        <w:spacing w:line="240" w:lineRule="auto"/>
        <w:rPr>
          <w:rFonts w:eastAsia="Arial" w:cs="Arial"/>
          <w:sz w:val="20"/>
          <w:szCs w:val="20"/>
          <w:lang w:val="es-ES" w:bidi="es-ES"/>
        </w:rPr>
      </w:pPr>
    </w:p>
    <w:p w14:paraId="0C67A7DD" w14:textId="08EE8FDE"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Las máquinas son una parte esencial de la actividad de BOBST. Entendemos que los embalajes requieren una maquinaria grande muy productiva, diseñada para funcionar las 24 horas del día, siete días a la semana, por lo que la carga medioambiental en materia de energía y consumo de materiales es un reto importante. </w:t>
      </w:r>
    </w:p>
    <w:p w14:paraId="4C117531" w14:textId="77777777" w:rsidR="00B82E17" w:rsidRDefault="00B82E17" w:rsidP="00B82E17">
      <w:pPr>
        <w:spacing w:line="240" w:lineRule="auto"/>
        <w:rPr>
          <w:rFonts w:eastAsia="Arial" w:cs="Arial"/>
          <w:sz w:val="20"/>
          <w:szCs w:val="20"/>
          <w:lang w:val="es-ES" w:bidi="es-ES"/>
        </w:rPr>
      </w:pPr>
    </w:p>
    <w:p w14:paraId="7F9F7198" w14:textId="22AC6E55" w:rsidR="00B82E17" w:rsidRPr="00896430" w:rsidRDefault="00B82E17" w:rsidP="00B82E17">
      <w:pPr>
        <w:spacing w:line="240" w:lineRule="auto"/>
        <w:rPr>
          <w:rFonts w:eastAsia="Arial" w:cs="Arial"/>
          <w:sz w:val="20"/>
          <w:szCs w:val="20"/>
          <w:lang w:val="es-ES" w:bidi="es-ES"/>
        </w:rPr>
      </w:pPr>
      <w:r w:rsidRPr="00B82E17">
        <w:rPr>
          <w:rFonts w:eastAsia="Arial" w:cs="Arial"/>
          <w:sz w:val="20"/>
          <w:szCs w:val="20"/>
          <w:lang w:val="es-ES" w:bidi="es-ES"/>
        </w:rPr>
        <w:t xml:space="preserve">Sabemos que la mayoría de las emisiones de carbono se producen en las fases posteriores de la cadena de valor, es decir, en las plantas de nuestros clientes, donde tenemos menos influencia. Pero creemos que, no obstante, tenemos la responsabilidad de ayudar </w:t>
      </w:r>
      <w:r w:rsidRPr="00896430">
        <w:rPr>
          <w:rFonts w:eastAsia="Arial" w:cs="Arial"/>
          <w:sz w:val="20"/>
          <w:szCs w:val="20"/>
          <w:lang w:val="es-ES" w:bidi="es-ES"/>
        </w:rPr>
        <w:t xml:space="preserve">a nuestros clientes a reducir esas emisiones. Es por eso </w:t>
      </w:r>
      <w:proofErr w:type="gramStart"/>
      <w:r w:rsidRPr="00896430">
        <w:rPr>
          <w:rFonts w:eastAsia="Arial" w:cs="Arial"/>
          <w:sz w:val="20"/>
          <w:szCs w:val="20"/>
          <w:lang w:val="es-ES" w:bidi="es-ES"/>
        </w:rPr>
        <w:t>que</w:t>
      </w:r>
      <w:proofErr w:type="gramEnd"/>
      <w:r w:rsidRPr="00896430">
        <w:rPr>
          <w:rFonts w:eastAsia="Arial" w:cs="Arial"/>
          <w:sz w:val="20"/>
          <w:szCs w:val="20"/>
          <w:lang w:val="es-ES" w:bidi="es-ES"/>
        </w:rPr>
        <w:t xml:space="preserve"> hemos dado a nuestros equipos un objetivo de reducir el consumo energético en un 20% para las máquinas que venderemos en 2030 respecto a nuestro punto de partida en 2022.</w:t>
      </w:r>
    </w:p>
    <w:p w14:paraId="5769FFAC" w14:textId="77777777" w:rsidR="00B82E17" w:rsidRPr="00896430" w:rsidRDefault="00B82E17" w:rsidP="00B82E17">
      <w:pPr>
        <w:spacing w:line="240" w:lineRule="auto"/>
        <w:rPr>
          <w:rFonts w:cs="Arial"/>
          <w:sz w:val="20"/>
          <w:szCs w:val="20"/>
          <w:lang w:val="es-ES"/>
        </w:rPr>
      </w:pPr>
    </w:p>
    <w:p w14:paraId="22D5C9C9" w14:textId="77777777" w:rsidR="00B82E17" w:rsidRPr="00896430" w:rsidRDefault="00B82E17" w:rsidP="00B82E17">
      <w:pPr>
        <w:spacing w:line="240" w:lineRule="auto"/>
        <w:rPr>
          <w:rFonts w:cs="Arial"/>
          <w:sz w:val="20"/>
          <w:szCs w:val="20"/>
          <w:lang w:val="es-ES"/>
        </w:rPr>
      </w:pPr>
      <w:r w:rsidRPr="00896430">
        <w:rPr>
          <w:rFonts w:eastAsia="Arial" w:cs="Arial"/>
          <w:sz w:val="20"/>
          <w:szCs w:val="20"/>
          <w:lang w:val="es-ES" w:bidi="es-ES"/>
        </w:rPr>
        <w:t>En cuanto a recursos, una estrategia clave es la reducción de la tinta, los residuos y los sustratos. Por ejemplo, hemos convertido los embalajes con cero fallos en una realidad gracias a innovaciones como ACCUCHECK, que reduce el desperdicio eliminando solo las cajas que no cumplen un criterio de calidad específico. oneECG —nuestra tecnología de gama de colores ampliada, que digitaliza y automatiza la gestión del color— no genera desperdicio de tinta, utiliza un 30% menos de tinta y reduce el tiempo de preparación y los desperdicios resultantes de la misma hasta un 90%. Mientras, nuestro pionero sistema Start&amp;Go para un registro de impresión óptimo, permite agilizar la configuración automática al principio de cada trabajo en solo unas hojas, lo cual se traduce en un considerable ahorro de hojas usadas al año. Para las etiquetas, hemos trabajado con Avery Dennison en una solución de etiquetas linerless, que aumenta significativamente el material en la bobina, aumentando la eficiencia de producción y reduciendo la necesidad de material de respaldo.</w:t>
      </w:r>
    </w:p>
    <w:p w14:paraId="5BFE0F0D" w14:textId="77777777" w:rsidR="00B82E17" w:rsidRPr="00896430" w:rsidRDefault="00B82E17" w:rsidP="00B82E17">
      <w:pPr>
        <w:spacing w:line="240" w:lineRule="auto"/>
        <w:rPr>
          <w:rFonts w:eastAsia="Arial" w:cs="Arial"/>
          <w:sz w:val="20"/>
          <w:szCs w:val="20"/>
          <w:lang w:val="es-ES" w:bidi="es-ES"/>
        </w:rPr>
      </w:pPr>
    </w:p>
    <w:p w14:paraId="7EAAD758" w14:textId="18825B87" w:rsidR="00B82E17" w:rsidRPr="00896430" w:rsidRDefault="00B82E17" w:rsidP="00B82E17">
      <w:pPr>
        <w:spacing w:line="240" w:lineRule="auto"/>
        <w:rPr>
          <w:rFonts w:eastAsia="Arial" w:cs="Arial"/>
          <w:sz w:val="20"/>
          <w:szCs w:val="20"/>
          <w:lang w:val="es-ES" w:bidi="es-ES"/>
        </w:rPr>
      </w:pPr>
      <w:r w:rsidRPr="00B82E17">
        <w:rPr>
          <w:rFonts w:eastAsia="Arial" w:cs="Arial"/>
          <w:sz w:val="20"/>
          <w:szCs w:val="20"/>
          <w:lang w:val="es-ES" w:bidi="es-ES"/>
        </w:rPr>
        <w:lastRenderedPageBreak/>
        <w:t xml:space="preserve">Otra importante área de atención es la mejora de las máquinas instaladas actualmente. Nos centramos en hacer posibles los reajustes para que nuestros clientes puedan actualizar las máquinas BOBST </w:t>
      </w:r>
      <w:r w:rsidRPr="00896430">
        <w:rPr>
          <w:rFonts w:eastAsia="Arial" w:cs="Arial"/>
          <w:sz w:val="20"/>
          <w:szCs w:val="20"/>
          <w:lang w:val="es-ES" w:bidi="es-ES"/>
        </w:rPr>
        <w:t xml:space="preserve">anteriores con los últimos avances, por ejemplo, añadiendo el EcoMode automático en las máquinas de grabado, que puede reducir el consumo energético hasta un 50% en modo de espera. Otro producto que va a llegar para las máquina de recubrimiento y grabado es el kit de eficiencia de </w:t>
      </w:r>
      <w:proofErr w:type="gramStart"/>
      <w:r w:rsidRPr="00896430">
        <w:rPr>
          <w:rFonts w:eastAsia="Arial" w:cs="Arial"/>
          <w:sz w:val="20"/>
          <w:szCs w:val="20"/>
          <w:lang w:val="es-ES" w:bidi="es-ES"/>
        </w:rPr>
        <w:t>ventilación,que</w:t>
      </w:r>
      <w:proofErr w:type="gramEnd"/>
      <w:r w:rsidRPr="00896430">
        <w:rPr>
          <w:rFonts w:eastAsia="Arial" w:cs="Arial"/>
          <w:sz w:val="20"/>
          <w:szCs w:val="20"/>
          <w:lang w:val="es-ES" w:bidi="es-ES"/>
        </w:rPr>
        <w:t xml:space="preserve"> permite reutilizar el cabezal de desperdicio y optimizar la energía del ventilador para ahorrar gran cantidad de la energía necesaria para el secado.</w:t>
      </w:r>
    </w:p>
    <w:p w14:paraId="200395B8" w14:textId="77777777" w:rsidR="00B82E17" w:rsidRPr="00896430" w:rsidRDefault="00B82E17" w:rsidP="00B82E17">
      <w:pPr>
        <w:spacing w:line="240" w:lineRule="auto"/>
        <w:rPr>
          <w:rFonts w:cs="Arial"/>
          <w:sz w:val="20"/>
          <w:szCs w:val="20"/>
          <w:lang w:val="es-ES"/>
        </w:rPr>
      </w:pPr>
    </w:p>
    <w:p w14:paraId="7B143510" w14:textId="77777777" w:rsidR="00B82E17" w:rsidRPr="00896430" w:rsidRDefault="00B82E17" w:rsidP="00B82E17">
      <w:pPr>
        <w:spacing w:line="240" w:lineRule="auto"/>
        <w:rPr>
          <w:rFonts w:cs="Arial"/>
          <w:sz w:val="20"/>
          <w:szCs w:val="20"/>
          <w:lang w:val="es-ES"/>
        </w:rPr>
      </w:pPr>
      <w:r w:rsidRPr="00896430">
        <w:rPr>
          <w:rFonts w:eastAsia="Arial" w:cs="Arial"/>
          <w:sz w:val="20"/>
          <w:szCs w:val="20"/>
          <w:lang w:val="es-ES" w:bidi="es-ES"/>
        </w:rPr>
        <w:t>Las máquinas reacondicionadas son una forma altamente rentable y sostenible de aumentar la productividad. BOBST ofrece el reacondicionamiento de las máquinas a través de CM Services, un proveedor global de maquinaria reacondicionada para cartón plegable y cartón ondulado. De este modo, las máquinas antiguas pueden duplicar su vida útil, renovándose con nuevos sistemas electrónicos, motores más eficientes y la incorporación de software para poder utilizar funciones como la asistencia remota.</w:t>
      </w:r>
    </w:p>
    <w:p w14:paraId="65D5A79F" w14:textId="77777777" w:rsidR="00B82E17" w:rsidRDefault="00B82E17" w:rsidP="00B82E17">
      <w:pPr>
        <w:spacing w:line="240" w:lineRule="auto"/>
        <w:rPr>
          <w:rFonts w:eastAsia="Arial" w:cs="Arial"/>
          <w:b/>
          <w:sz w:val="20"/>
          <w:szCs w:val="20"/>
          <w:lang w:val="es-ES" w:bidi="es-ES"/>
        </w:rPr>
      </w:pPr>
    </w:p>
    <w:p w14:paraId="5144AECE" w14:textId="449366A5" w:rsidR="00B82E17" w:rsidRPr="00B82E17" w:rsidRDefault="00B82E17" w:rsidP="00B82E17">
      <w:pPr>
        <w:spacing w:line="240" w:lineRule="auto"/>
        <w:rPr>
          <w:rFonts w:cs="Arial"/>
          <w:b/>
          <w:bCs/>
          <w:sz w:val="20"/>
          <w:szCs w:val="20"/>
          <w:lang w:val="es-ES"/>
        </w:rPr>
      </w:pPr>
      <w:r w:rsidRPr="00B82E17">
        <w:rPr>
          <w:rFonts w:eastAsia="Arial" w:cs="Arial"/>
          <w:b/>
          <w:sz w:val="20"/>
          <w:szCs w:val="20"/>
          <w:lang w:val="es-ES" w:bidi="es-ES"/>
        </w:rPr>
        <w:t xml:space="preserve">Avanzar en la sostenibilidad de los embalajes </w:t>
      </w:r>
    </w:p>
    <w:p w14:paraId="38AD7E61" w14:textId="77777777" w:rsidR="00B82E17" w:rsidRDefault="00B82E17" w:rsidP="00B82E17">
      <w:pPr>
        <w:spacing w:line="240" w:lineRule="auto"/>
        <w:rPr>
          <w:rFonts w:eastAsia="Arial" w:cs="Arial"/>
          <w:sz w:val="20"/>
          <w:szCs w:val="20"/>
          <w:lang w:val="es-ES" w:bidi="es-ES"/>
        </w:rPr>
      </w:pPr>
    </w:p>
    <w:p w14:paraId="52F308C0" w14:textId="508C7D3D"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Luego están los embalajes propiamente dichos. Aquí es donde tenemos la vista del mundo entero puesta en nosotros. Como industria, tenemos que llevar al mundo hacia una nueva era de embalajes reciclables. </w:t>
      </w:r>
    </w:p>
    <w:p w14:paraId="04AE37C9" w14:textId="77777777" w:rsidR="00B82E17" w:rsidRDefault="00B82E17" w:rsidP="00B82E17">
      <w:pPr>
        <w:spacing w:line="240" w:lineRule="auto"/>
        <w:rPr>
          <w:rFonts w:eastAsia="Arial" w:cs="Arial"/>
          <w:sz w:val="20"/>
          <w:szCs w:val="20"/>
          <w:lang w:val="es-ES" w:bidi="es-ES"/>
        </w:rPr>
      </w:pPr>
    </w:p>
    <w:p w14:paraId="50A38783" w14:textId="200897A4"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Para apoyar a la industria en sus objetivos para los embalajes sostenibles, BOBST, junto con sus importantes socios industriales, ha presentado una gama pionera de soluciones de embalaje innovadoras y más respetuosas con el medio ambiente. Se trata de un recorrido de muchos años, que está llegando a un punto crítico apasionante, en que todo el duro trabajo, la colaboración y la I+D se materializa en soluciones reales, comercializadas en los estantes de los supermercados.</w:t>
      </w:r>
    </w:p>
    <w:p w14:paraId="2BE79429" w14:textId="77777777" w:rsidR="00B82E17" w:rsidRDefault="00B82E17" w:rsidP="00B82E17">
      <w:pPr>
        <w:spacing w:line="240" w:lineRule="auto"/>
        <w:rPr>
          <w:rFonts w:eastAsia="Arial" w:cs="Arial"/>
          <w:sz w:val="20"/>
          <w:szCs w:val="20"/>
          <w:lang w:val="es-ES" w:bidi="es-ES"/>
        </w:rPr>
      </w:pPr>
    </w:p>
    <w:p w14:paraId="2C929DA8" w14:textId="2A9EDF41" w:rsidR="00B82E17" w:rsidRPr="00B82E17" w:rsidRDefault="00B82E17" w:rsidP="00B82E17">
      <w:pPr>
        <w:spacing w:line="240" w:lineRule="auto"/>
        <w:rPr>
          <w:rFonts w:cs="Arial"/>
          <w:sz w:val="20"/>
          <w:szCs w:val="20"/>
          <w:lang w:val="es-ES"/>
        </w:rPr>
      </w:pPr>
      <w:proofErr w:type="spellStart"/>
      <w:r w:rsidRPr="00B82E17">
        <w:rPr>
          <w:rFonts w:eastAsia="Arial" w:cs="Arial"/>
          <w:sz w:val="20"/>
          <w:szCs w:val="20"/>
          <w:lang w:val="es-ES" w:bidi="es-ES"/>
        </w:rPr>
        <w:t>oneBARRIER</w:t>
      </w:r>
      <w:proofErr w:type="spellEnd"/>
      <w:r w:rsidRPr="00B82E17">
        <w:rPr>
          <w:rFonts w:eastAsia="Arial" w:cs="Arial"/>
          <w:sz w:val="20"/>
          <w:szCs w:val="20"/>
          <w:lang w:val="es-ES" w:bidi="es-ES"/>
        </w:rPr>
        <w:t xml:space="preserve"> es una familia de sustratos dúplex y tríples de alta y muy alta barrera monomateriales y reciclables, que resultan industrialmente viables para los diseñadores de embalajes como alternativa a los </w:t>
      </w:r>
      <w:proofErr w:type="gramStart"/>
      <w:r w:rsidRPr="00B82E17">
        <w:rPr>
          <w:rFonts w:eastAsia="Arial" w:cs="Arial"/>
          <w:sz w:val="20"/>
          <w:szCs w:val="20"/>
          <w:lang w:val="es-ES" w:bidi="es-ES"/>
        </w:rPr>
        <w:t>films</w:t>
      </w:r>
      <w:proofErr w:type="gramEnd"/>
      <w:r w:rsidRPr="00B82E17">
        <w:rPr>
          <w:rFonts w:eastAsia="Arial" w:cs="Arial"/>
          <w:sz w:val="20"/>
          <w:szCs w:val="20"/>
          <w:lang w:val="es-ES" w:bidi="es-ES"/>
        </w:rPr>
        <w:t xml:space="preserve"> de poliéster metalizados no reciclables. </w:t>
      </w:r>
    </w:p>
    <w:p w14:paraId="1D25B724" w14:textId="77777777" w:rsidR="00B82E17" w:rsidRDefault="00B82E17" w:rsidP="00B82E17">
      <w:pPr>
        <w:spacing w:line="240" w:lineRule="auto"/>
        <w:rPr>
          <w:rFonts w:eastAsia="Arial" w:cs="Arial"/>
          <w:sz w:val="20"/>
          <w:szCs w:val="20"/>
          <w:lang w:val="es-ES" w:bidi="es-ES"/>
        </w:rPr>
      </w:pPr>
    </w:p>
    <w:p w14:paraId="0FB7138C" w14:textId="6E2BB0AC"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La familia de soluciones sostenibles oneBARRIER de BOBST hasta la fecha incluye PrimeCycle, que contiene monosustratos de PE transparentes sin recubrimiento a base de AlOx u opacos a base de AluBond, y FibreCycle, una estructura a base de papel de alta barrera monomaterial recubierta con capas funcionales que pueden reciclarse en el flujo de papel actual. Institutos externos de prestigio han confirmado la reciclabilidad de nuestras dos primeras soluciones oneBARRIER.</w:t>
      </w:r>
    </w:p>
    <w:p w14:paraId="634A4846" w14:textId="77777777" w:rsidR="00B82E17" w:rsidRDefault="00B82E17" w:rsidP="00B82E17">
      <w:pPr>
        <w:spacing w:line="240" w:lineRule="auto"/>
        <w:rPr>
          <w:rFonts w:eastAsia="Arial" w:cs="Arial"/>
          <w:sz w:val="20"/>
          <w:szCs w:val="20"/>
          <w:lang w:val="es-ES" w:bidi="es-ES"/>
        </w:rPr>
      </w:pPr>
    </w:p>
    <w:p w14:paraId="7D758958" w14:textId="4AEF8EE8"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Ahora estamos ampliándolo con nuevos tipos de aplicaciones y nuevos modelos de embalajes, a la vez que ampliamos el ecosistema con nuevos socios. Estamos trabajando en soluciones que utilizan BOPP y materiales biodegradables de recursos naturales y renovables. Como no hay una sola solución milagrosa, necesitamos una «familia» de soluciones para todos los tipos de materiales. </w:t>
      </w:r>
    </w:p>
    <w:p w14:paraId="71B0A0CD" w14:textId="77777777" w:rsidR="00B82E17" w:rsidRDefault="00B82E17" w:rsidP="00B82E17">
      <w:pPr>
        <w:spacing w:line="240" w:lineRule="auto"/>
        <w:rPr>
          <w:rFonts w:eastAsia="Arial" w:cs="Arial"/>
          <w:sz w:val="20"/>
          <w:szCs w:val="20"/>
          <w:lang w:val="es-ES" w:bidi="es-ES"/>
        </w:rPr>
      </w:pPr>
    </w:p>
    <w:p w14:paraId="2122EA9C" w14:textId="33C39825"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Es un ejemplo de que la sostenibilidad requiere compromiso, colaboración e innovación continua para hacer posible un progreso real. </w:t>
      </w:r>
    </w:p>
    <w:p w14:paraId="7D43A356" w14:textId="77777777" w:rsidR="00B82E17" w:rsidRDefault="00B82E17" w:rsidP="00B82E17">
      <w:pPr>
        <w:spacing w:line="240" w:lineRule="auto"/>
        <w:rPr>
          <w:rFonts w:eastAsia="Arial" w:cs="Arial"/>
          <w:sz w:val="20"/>
          <w:szCs w:val="20"/>
          <w:lang w:val="es-ES" w:bidi="es-ES"/>
        </w:rPr>
      </w:pPr>
    </w:p>
    <w:p w14:paraId="538F1D0A" w14:textId="2015BEC1" w:rsidR="00B82E17" w:rsidRPr="00B82E17" w:rsidRDefault="00B82E17" w:rsidP="00B82E17">
      <w:pPr>
        <w:spacing w:line="240" w:lineRule="auto"/>
        <w:rPr>
          <w:rFonts w:cs="Arial"/>
          <w:sz w:val="20"/>
          <w:szCs w:val="20"/>
          <w:lang w:val="es-ES"/>
        </w:rPr>
      </w:pPr>
      <w:r w:rsidRPr="00B82E17">
        <w:rPr>
          <w:rFonts w:eastAsia="Arial" w:cs="Arial"/>
          <w:sz w:val="20"/>
          <w:szCs w:val="20"/>
          <w:lang w:val="es-ES" w:bidi="es-ES"/>
        </w:rPr>
        <w:t xml:space="preserve">La colaboración es realmente la clave de todo: nuestro trabajo en oneBARRIER ha demostrado lo mucho que puede conseguirse cuando se reúnen varios expertos con un objetivo compartido. Ahora estamos buscando construir sobre el considerable progreso que se ha conseguido, lograr nuestros objetivos de sostenibilidad y ayudar a nuestros clientes a alcanzar los suyos. </w:t>
      </w:r>
    </w:p>
    <w:p w14:paraId="339AA2B7" w14:textId="77777777" w:rsidR="00B82E17" w:rsidRPr="00453BFE" w:rsidRDefault="00B82E17" w:rsidP="00B82E17">
      <w:pPr>
        <w:spacing w:line="240" w:lineRule="auto"/>
        <w:rPr>
          <w:color w:val="0000FF"/>
          <w:sz w:val="20"/>
          <w:szCs w:val="20"/>
          <w:lang w:val="fr-CH"/>
        </w:rPr>
      </w:pPr>
    </w:p>
    <w:p w14:paraId="21821F78" w14:textId="54849F18" w:rsidR="00B936B3" w:rsidRPr="00D13AC6" w:rsidRDefault="00C4496E" w:rsidP="00B82E17">
      <w:pPr>
        <w:autoSpaceDE w:val="0"/>
        <w:autoSpaceDN w:val="0"/>
        <w:adjustRightInd w:val="0"/>
        <w:spacing w:line="240" w:lineRule="auto"/>
        <w:rPr>
          <w:lang w:val="fr-CH"/>
        </w:rPr>
      </w:pPr>
      <w:r w:rsidRPr="00D13AC6">
        <w:rPr>
          <w:lang w:val="fr-CH"/>
        </w:rPr>
        <w:t>./.</w:t>
      </w:r>
    </w:p>
    <w:p w14:paraId="49490C93" w14:textId="77777777" w:rsidR="00C4496E" w:rsidRPr="00D13AC6" w:rsidRDefault="00C4496E" w:rsidP="00B82E17">
      <w:pPr>
        <w:autoSpaceDE w:val="0"/>
        <w:autoSpaceDN w:val="0"/>
        <w:adjustRightInd w:val="0"/>
        <w:spacing w:line="240" w:lineRule="auto"/>
        <w:rPr>
          <w:lang w:val="fr-CH"/>
        </w:rPr>
      </w:pPr>
    </w:p>
    <w:p w14:paraId="12526EB2" w14:textId="77777777" w:rsidR="00C4496E" w:rsidRPr="00D13AC6" w:rsidRDefault="00C4496E" w:rsidP="00B82E17">
      <w:pPr>
        <w:autoSpaceDE w:val="0"/>
        <w:autoSpaceDN w:val="0"/>
        <w:adjustRightInd w:val="0"/>
        <w:spacing w:line="240" w:lineRule="auto"/>
        <w:rPr>
          <w:lang w:val="fr-CH"/>
        </w:rPr>
      </w:pPr>
    </w:p>
    <w:p w14:paraId="22436118" w14:textId="77777777" w:rsidR="00C4496E" w:rsidRPr="00B82E17" w:rsidRDefault="00C4496E" w:rsidP="00B82E17">
      <w:pPr>
        <w:autoSpaceDE w:val="0"/>
        <w:autoSpaceDN w:val="0"/>
        <w:adjustRightInd w:val="0"/>
        <w:spacing w:line="240" w:lineRule="auto"/>
        <w:rPr>
          <w:rFonts w:asciiTheme="minorHAnsi" w:hAnsiTheme="minorHAnsi" w:cstheme="minorHAnsi"/>
          <w:b/>
          <w:bCs/>
          <w:sz w:val="20"/>
          <w:szCs w:val="20"/>
          <w:lang w:val="es-ES"/>
        </w:rPr>
      </w:pPr>
    </w:p>
    <w:p w14:paraId="17FE10A5" w14:textId="77777777" w:rsidR="00B936B3" w:rsidRPr="00B82E17"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487D32D5" w14:textId="77777777" w:rsidR="00960BD0" w:rsidRPr="00B82E17" w:rsidRDefault="00960BD0" w:rsidP="00B82E17">
      <w:pPr>
        <w:autoSpaceDE w:val="0"/>
        <w:autoSpaceDN w:val="0"/>
        <w:adjustRightInd w:val="0"/>
        <w:spacing w:line="240" w:lineRule="auto"/>
        <w:outlineLvl w:val="0"/>
        <w:rPr>
          <w:rFonts w:asciiTheme="minorHAnsi" w:hAnsiTheme="minorHAnsi" w:cstheme="minorHAnsi"/>
          <w:b/>
          <w:bCs/>
          <w:sz w:val="19"/>
          <w:szCs w:val="19"/>
          <w:lang w:val="es-ES"/>
        </w:rPr>
      </w:pPr>
      <w:r w:rsidRPr="00B82E17">
        <w:rPr>
          <w:rFonts w:asciiTheme="minorHAnsi" w:hAnsiTheme="minorHAnsi" w:cstheme="minorHAnsi"/>
          <w:b/>
          <w:bCs/>
          <w:sz w:val="19"/>
          <w:szCs w:val="19"/>
          <w:lang w:val="es-ES"/>
        </w:rPr>
        <w:lastRenderedPageBreak/>
        <w:t>Acerca de BOBST</w:t>
      </w:r>
    </w:p>
    <w:p w14:paraId="373A3514" w14:textId="77777777" w:rsidR="00B82E17" w:rsidRDefault="00B82E17" w:rsidP="00B82E17">
      <w:pPr>
        <w:spacing w:line="240" w:lineRule="auto"/>
        <w:rPr>
          <w:rFonts w:asciiTheme="minorHAnsi" w:hAnsiTheme="minorHAnsi" w:cstheme="minorHAnsi"/>
          <w:sz w:val="19"/>
          <w:szCs w:val="19"/>
          <w:lang w:val="es-ES"/>
        </w:rPr>
      </w:pPr>
    </w:p>
    <w:p w14:paraId="2507B1D5" w14:textId="16C8FA62" w:rsidR="003837B8" w:rsidRPr="00B82E17" w:rsidRDefault="003837B8" w:rsidP="00B82E17">
      <w:pPr>
        <w:spacing w:line="240" w:lineRule="auto"/>
        <w:rPr>
          <w:rFonts w:asciiTheme="minorHAnsi" w:hAnsiTheme="minorHAnsi" w:cstheme="minorHAnsi"/>
          <w:sz w:val="19"/>
          <w:szCs w:val="19"/>
          <w:lang w:val="es-ES"/>
        </w:rPr>
      </w:pPr>
      <w:r w:rsidRPr="00B82E1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333DF3E9" w14:textId="77777777" w:rsidR="003837B8" w:rsidRPr="00B82E17" w:rsidRDefault="003837B8" w:rsidP="00B82E17">
      <w:pPr>
        <w:spacing w:line="240" w:lineRule="auto"/>
        <w:rPr>
          <w:rFonts w:asciiTheme="minorHAnsi" w:hAnsiTheme="minorHAnsi" w:cstheme="minorHAnsi"/>
          <w:sz w:val="19"/>
          <w:szCs w:val="19"/>
          <w:lang w:val="es-ES"/>
        </w:rPr>
      </w:pPr>
    </w:p>
    <w:p w14:paraId="6493E85D" w14:textId="6AC30453" w:rsidR="00F775CD" w:rsidRPr="00B82E17" w:rsidRDefault="003837B8" w:rsidP="00B82E17">
      <w:pPr>
        <w:spacing w:line="240" w:lineRule="auto"/>
        <w:rPr>
          <w:rFonts w:cs="Arial"/>
          <w:sz w:val="19"/>
          <w:szCs w:val="19"/>
          <w:lang w:val="es-ES"/>
        </w:rPr>
      </w:pPr>
      <w:r w:rsidRPr="00B82E1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B82E17" w:rsidRDefault="00F775CD" w:rsidP="00B82E17">
      <w:pPr>
        <w:spacing w:line="240" w:lineRule="auto"/>
        <w:rPr>
          <w:rFonts w:cs="Arial"/>
          <w:sz w:val="19"/>
          <w:szCs w:val="19"/>
          <w:lang w:val="es-ES"/>
        </w:rPr>
      </w:pPr>
    </w:p>
    <w:p w14:paraId="387DD3AD" w14:textId="77777777" w:rsidR="00E61AB6" w:rsidRPr="00B82E17" w:rsidRDefault="00E61AB6" w:rsidP="00B82E17">
      <w:pPr>
        <w:spacing w:line="240" w:lineRule="auto"/>
        <w:rPr>
          <w:rFonts w:cs="Arial"/>
          <w:b/>
          <w:sz w:val="19"/>
          <w:szCs w:val="19"/>
          <w:lang w:val="pt-BR"/>
        </w:rPr>
      </w:pPr>
      <w:r w:rsidRPr="00B82E17">
        <w:rPr>
          <w:rFonts w:cs="Arial"/>
          <w:b/>
          <w:sz w:val="19"/>
          <w:szCs w:val="19"/>
          <w:lang w:val="pt-BR"/>
        </w:rPr>
        <w:t>Contacto prensa</w:t>
      </w:r>
      <w:r w:rsidR="006A73CE" w:rsidRPr="00B82E17">
        <w:rPr>
          <w:rFonts w:cs="Arial"/>
          <w:b/>
          <w:sz w:val="19"/>
          <w:szCs w:val="19"/>
          <w:lang w:val="pt-BR"/>
        </w:rPr>
        <w:t>:</w:t>
      </w:r>
    </w:p>
    <w:p w14:paraId="4E2E70AF" w14:textId="77777777" w:rsidR="00D12952" w:rsidRPr="00B82E17" w:rsidRDefault="00D12952" w:rsidP="00B82E17">
      <w:pPr>
        <w:spacing w:line="240" w:lineRule="auto"/>
        <w:rPr>
          <w:rFonts w:cs="Arial"/>
          <w:b/>
          <w:sz w:val="19"/>
          <w:szCs w:val="19"/>
          <w:lang w:val="pt-BR"/>
        </w:rPr>
      </w:pPr>
    </w:p>
    <w:p w14:paraId="66A5C56F" w14:textId="77777777" w:rsidR="006A73CE" w:rsidRPr="00B82E17" w:rsidRDefault="006A73CE" w:rsidP="00B82E17">
      <w:pPr>
        <w:spacing w:line="240" w:lineRule="auto"/>
        <w:rPr>
          <w:rFonts w:cs="Arial"/>
          <w:sz w:val="19"/>
          <w:szCs w:val="19"/>
          <w:lang w:val="pt-BR" w:eastAsia="zh-CN"/>
        </w:rPr>
      </w:pPr>
      <w:r w:rsidRPr="00B82E17">
        <w:rPr>
          <w:rFonts w:cs="Arial"/>
          <w:sz w:val="19"/>
          <w:szCs w:val="19"/>
          <w:lang w:val="pt-BR" w:eastAsia="zh-CN"/>
        </w:rPr>
        <w:t>Gudrun Alex</w:t>
      </w:r>
      <w:r w:rsidRPr="00B82E17">
        <w:rPr>
          <w:rFonts w:cs="Arial"/>
          <w:sz w:val="19"/>
          <w:szCs w:val="19"/>
          <w:lang w:val="pt-BR" w:eastAsia="zh-CN"/>
        </w:rPr>
        <w:br/>
        <w:t>BOBST PR Representative</w:t>
      </w:r>
    </w:p>
    <w:p w14:paraId="009427B1" w14:textId="77777777" w:rsidR="006A73CE" w:rsidRPr="00B82E17" w:rsidRDefault="006A73CE" w:rsidP="00B82E17">
      <w:pPr>
        <w:spacing w:line="240" w:lineRule="auto"/>
        <w:rPr>
          <w:rFonts w:cs="Arial"/>
          <w:sz w:val="19"/>
          <w:szCs w:val="19"/>
          <w:lang w:val="fr-CH" w:eastAsia="de-DE"/>
        </w:rPr>
      </w:pPr>
      <w:r w:rsidRPr="00B82E17">
        <w:rPr>
          <w:rFonts w:cs="Arial"/>
          <w:sz w:val="19"/>
          <w:szCs w:val="19"/>
          <w:lang w:val="fr-CH" w:eastAsia="de-DE"/>
        </w:rPr>
        <w:t>Tel</w:t>
      </w:r>
      <w:proofErr w:type="gramStart"/>
      <w:r w:rsidRPr="00B82E17">
        <w:rPr>
          <w:rFonts w:cs="Arial"/>
          <w:sz w:val="19"/>
          <w:szCs w:val="19"/>
          <w:lang w:val="fr-CH" w:eastAsia="de-DE"/>
        </w:rPr>
        <w:t>.:</w:t>
      </w:r>
      <w:proofErr w:type="gramEnd"/>
      <w:r w:rsidRPr="00B82E17">
        <w:rPr>
          <w:rFonts w:cs="Arial"/>
          <w:sz w:val="19"/>
          <w:szCs w:val="19"/>
          <w:lang w:val="fr-CH" w:eastAsia="de-DE"/>
        </w:rPr>
        <w:t xml:space="preserve"> +49 211 58 58 66 66 </w:t>
      </w:r>
    </w:p>
    <w:p w14:paraId="4EC36826" w14:textId="77777777" w:rsidR="006A73CE" w:rsidRPr="00B82E17" w:rsidRDefault="006A73CE" w:rsidP="00B82E17">
      <w:pPr>
        <w:spacing w:line="240" w:lineRule="auto"/>
        <w:rPr>
          <w:rFonts w:cs="Arial"/>
          <w:sz w:val="19"/>
          <w:szCs w:val="19"/>
          <w:lang w:val="fr-CH" w:eastAsia="de-DE"/>
        </w:rPr>
      </w:pPr>
      <w:proofErr w:type="gramStart"/>
      <w:r w:rsidRPr="00B82E17">
        <w:rPr>
          <w:rFonts w:cs="Arial"/>
          <w:sz w:val="19"/>
          <w:szCs w:val="19"/>
          <w:lang w:val="fr-CH" w:eastAsia="de-DE"/>
        </w:rPr>
        <w:t>Mobile:</w:t>
      </w:r>
      <w:proofErr w:type="gramEnd"/>
      <w:r w:rsidRPr="00B82E17">
        <w:rPr>
          <w:rFonts w:cs="Arial"/>
          <w:sz w:val="19"/>
          <w:szCs w:val="19"/>
          <w:lang w:val="fr-CH" w:eastAsia="de-DE"/>
        </w:rPr>
        <w:t xml:space="preserve"> +49 160 48 41 439</w:t>
      </w:r>
    </w:p>
    <w:p w14:paraId="397F5226" w14:textId="77777777" w:rsidR="000B5055" w:rsidRPr="00B82E17" w:rsidRDefault="000B5055" w:rsidP="00B82E17">
      <w:pPr>
        <w:spacing w:line="240" w:lineRule="auto"/>
        <w:rPr>
          <w:rFonts w:cs="Arial"/>
          <w:sz w:val="19"/>
          <w:szCs w:val="19"/>
          <w:lang w:val="fr-CH" w:eastAsia="de-DE"/>
        </w:rPr>
      </w:pPr>
      <w:proofErr w:type="gramStart"/>
      <w:r w:rsidRPr="00B82E17">
        <w:rPr>
          <w:rFonts w:cs="Arial"/>
          <w:sz w:val="19"/>
          <w:szCs w:val="19"/>
          <w:lang w:val="fr-CH" w:eastAsia="de-DE"/>
        </w:rPr>
        <w:t>Email:</w:t>
      </w:r>
      <w:proofErr w:type="gramEnd"/>
      <w:r w:rsidRPr="00B82E17">
        <w:rPr>
          <w:rFonts w:cs="Arial"/>
          <w:sz w:val="19"/>
          <w:szCs w:val="19"/>
          <w:lang w:val="fr-CH" w:eastAsia="de-DE"/>
        </w:rPr>
        <w:t xml:space="preserve"> </w:t>
      </w:r>
      <w:hyperlink r:id="rId12" w:history="1">
        <w:r w:rsidRPr="00B82E17">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B82E17" w:rsidRDefault="006A73CE" w:rsidP="00B82E17">
      <w:pPr>
        <w:spacing w:line="240" w:lineRule="auto"/>
        <w:rPr>
          <w:rFonts w:cs="Arial"/>
          <w:sz w:val="19"/>
          <w:szCs w:val="19"/>
          <w:lang w:val="fr-CH" w:eastAsia="de-DE"/>
        </w:rPr>
      </w:pPr>
    </w:p>
    <w:p w14:paraId="4220CB0A" w14:textId="77777777" w:rsidR="000B5055" w:rsidRPr="00B82E17" w:rsidRDefault="000B5055" w:rsidP="00B82E17">
      <w:pPr>
        <w:spacing w:line="240" w:lineRule="auto"/>
        <w:rPr>
          <w:rFonts w:eastAsia="SimSun" w:cs="Arial"/>
          <w:b/>
          <w:bCs/>
          <w:sz w:val="19"/>
          <w:szCs w:val="19"/>
          <w:lang w:val="en-US" w:eastAsia="zh-CN" w:bidi="th-TH"/>
        </w:rPr>
      </w:pPr>
      <w:r w:rsidRPr="00B82E17">
        <w:rPr>
          <w:rFonts w:eastAsia="SimSun" w:cs="Arial"/>
          <w:b/>
          <w:bCs/>
          <w:sz w:val="19"/>
          <w:szCs w:val="19"/>
          <w:lang w:val="en-US" w:eastAsia="zh-CN" w:bidi="th-TH"/>
        </w:rPr>
        <w:t>Follow us:</w:t>
      </w:r>
    </w:p>
    <w:p w14:paraId="7F1A170C" w14:textId="77777777" w:rsidR="00D12952" w:rsidRPr="00B82E17" w:rsidRDefault="00D12952" w:rsidP="00B82E17">
      <w:pPr>
        <w:spacing w:line="240" w:lineRule="auto"/>
        <w:rPr>
          <w:rFonts w:ascii="Times New Roman" w:eastAsia="SimSun" w:hAnsi="Times New Roman"/>
          <w:b/>
          <w:bCs/>
          <w:sz w:val="19"/>
          <w:szCs w:val="19"/>
          <w:lang w:val="en-US" w:eastAsia="zh-CN" w:bidi="th-TH"/>
        </w:rPr>
      </w:pPr>
    </w:p>
    <w:p w14:paraId="26F3198D" w14:textId="02498DC0" w:rsidR="00F03D8B" w:rsidRPr="00B82E17" w:rsidRDefault="000B5055" w:rsidP="00B82E17">
      <w:pPr>
        <w:spacing w:line="240" w:lineRule="auto"/>
        <w:rPr>
          <w:rFonts w:asciiTheme="majorHAnsi" w:eastAsia="Microsoft YaHei" w:hAnsiTheme="majorHAnsi" w:cstheme="majorHAnsi"/>
          <w:color w:val="265896"/>
          <w:sz w:val="19"/>
          <w:szCs w:val="19"/>
          <w:u w:val="single"/>
          <w:lang w:eastAsia="zh-CN" w:bidi="th-TH"/>
        </w:rPr>
      </w:pPr>
      <w:r w:rsidRPr="00B82E17">
        <w:rPr>
          <w:rFonts w:asciiTheme="majorHAnsi" w:eastAsia="Microsoft YaHei" w:hAnsiTheme="majorHAnsi" w:cstheme="majorHAnsi"/>
          <w:sz w:val="19"/>
          <w:szCs w:val="19"/>
          <w:lang w:val="en-US" w:eastAsia="zh-CN" w:bidi="th-TH"/>
        </w:rPr>
        <w:t xml:space="preserve">Facebook: </w:t>
      </w:r>
      <w:hyperlink r:id="rId13" w:history="1">
        <w:r w:rsidRPr="00B82E17">
          <w:rPr>
            <w:rFonts w:asciiTheme="majorHAnsi" w:eastAsia="Microsoft YaHei" w:hAnsiTheme="majorHAnsi" w:cstheme="majorHAnsi"/>
            <w:color w:val="0000FF"/>
            <w:sz w:val="19"/>
            <w:szCs w:val="19"/>
            <w:u w:val="single"/>
            <w:lang w:eastAsia="de-DE"/>
          </w:rPr>
          <w:t>www.bobst.com/facebook</w:t>
        </w:r>
      </w:hyperlink>
      <w:r w:rsidRPr="00B82E17">
        <w:rPr>
          <w:rFonts w:asciiTheme="majorHAnsi" w:eastAsia="Microsoft YaHei" w:hAnsiTheme="majorHAnsi" w:cstheme="majorHAnsi"/>
          <w:sz w:val="19"/>
          <w:szCs w:val="19"/>
          <w:lang w:val="en-US" w:eastAsia="zh-CN" w:bidi="th-TH"/>
        </w:rPr>
        <w:t xml:space="preserve"> </w:t>
      </w:r>
      <w:r w:rsidRPr="00B82E17">
        <w:rPr>
          <w:rFonts w:asciiTheme="majorHAnsi" w:eastAsia="Microsoft YaHei" w:hAnsiTheme="majorHAnsi" w:cstheme="majorHAnsi"/>
          <w:sz w:val="19"/>
          <w:szCs w:val="19"/>
          <w:lang w:val="en-US" w:eastAsia="zh-CN" w:bidi="th-TH"/>
        </w:rPr>
        <w:br/>
        <w:t xml:space="preserve">LinkedIn: </w:t>
      </w:r>
      <w:hyperlink r:id="rId14" w:history="1">
        <w:r w:rsidRPr="00B82E17">
          <w:rPr>
            <w:rFonts w:asciiTheme="majorHAnsi" w:eastAsia="Microsoft YaHei" w:hAnsiTheme="majorHAnsi" w:cstheme="majorHAnsi"/>
            <w:color w:val="0000FF"/>
            <w:sz w:val="19"/>
            <w:szCs w:val="19"/>
            <w:u w:val="single"/>
            <w:lang w:eastAsia="de-DE"/>
          </w:rPr>
          <w:t>www.bobst.com/linkedin</w:t>
        </w:r>
      </w:hyperlink>
      <w:r w:rsidRPr="00B82E17">
        <w:rPr>
          <w:rFonts w:asciiTheme="majorHAnsi" w:eastAsia="Microsoft YaHei" w:hAnsiTheme="majorHAnsi" w:cstheme="majorHAnsi"/>
          <w:sz w:val="19"/>
          <w:szCs w:val="19"/>
          <w:lang w:val="en-US" w:eastAsia="zh-CN" w:bidi="th-TH"/>
        </w:rPr>
        <w:t xml:space="preserve"> </w:t>
      </w:r>
      <w:r w:rsidRPr="00B82E17">
        <w:rPr>
          <w:rFonts w:asciiTheme="majorHAnsi" w:eastAsia="Microsoft YaHei" w:hAnsiTheme="majorHAnsi" w:cstheme="majorHAnsi"/>
          <w:sz w:val="19"/>
          <w:szCs w:val="19"/>
          <w:lang w:val="en-US" w:eastAsia="zh-CN" w:bidi="th-TH"/>
        </w:rPr>
        <w:br/>
        <w:t xml:space="preserve">YouTube: </w:t>
      </w:r>
      <w:hyperlink r:id="rId15" w:history="1">
        <w:r w:rsidRPr="00B82E17">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B82E17" w:rsidRDefault="000C41D1" w:rsidP="00B82E17">
      <w:pPr>
        <w:spacing w:line="240" w:lineRule="auto"/>
        <w:rPr>
          <w:rFonts w:asciiTheme="majorHAnsi" w:eastAsia="Microsoft YaHei" w:hAnsiTheme="majorHAnsi" w:cstheme="majorHAnsi"/>
          <w:color w:val="265896"/>
          <w:sz w:val="19"/>
          <w:szCs w:val="19"/>
          <w:u w:val="single"/>
          <w:lang w:eastAsia="zh-CN" w:bidi="th-TH"/>
        </w:rPr>
      </w:pPr>
    </w:p>
    <w:sectPr w:rsidR="000C41D1" w:rsidRPr="00B82E17" w:rsidSect="00623A69">
      <w:headerReference w:type="default" r:id="rId16"/>
      <w:footerReference w:type="default" r:id="rId17"/>
      <w:headerReference w:type="first" r:id="rId18"/>
      <w:footerReference w:type="first" r:id="rId19"/>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F725" w14:textId="77777777" w:rsidR="00623A69" w:rsidRDefault="00623A69" w:rsidP="00BB5BE9">
      <w:pPr>
        <w:spacing w:line="240" w:lineRule="auto"/>
      </w:pPr>
      <w:r>
        <w:separator/>
      </w:r>
    </w:p>
  </w:endnote>
  <w:endnote w:type="continuationSeparator" w:id="0">
    <w:p w14:paraId="5D9B0B46" w14:textId="77777777" w:rsidR="00623A69" w:rsidRDefault="00623A6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6EF7" w14:textId="77777777" w:rsidR="00623A69" w:rsidRDefault="00623A69" w:rsidP="00BB5BE9">
      <w:pPr>
        <w:spacing w:line="240" w:lineRule="auto"/>
      </w:pPr>
      <w:r>
        <w:separator/>
      </w:r>
    </w:p>
  </w:footnote>
  <w:footnote w:type="continuationSeparator" w:id="0">
    <w:p w14:paraId="3B6027F0" w14:textId="77777777" w:rsidR="00623A69" w:rsidRDefault="00623A69" w:rsidP="00BB5BE9">
      <w:pPr>
        <w:spacing w:line="240" w:lineRule="auto"/>
      </w:pPr>
      <w:r>
        <w:continuationSeparator/>
      </w:r>
    </w:p>
  </w:footnote>
  <w:footnote w:id="1">
    <w:p w14:paraId="4ABFC372" w14:textId="5BFBE995" w:rsidR="00B82E17" w:rsidRPr="00B82E17" w:rsidRDefault="00B82E17">
      <w:pPr>
        <w:pStyle w:val="FootnoteText"/>
        <w:rPr>
          <w:lang w:val="nl-BE"/>
        </w:rPr>
      </w:pPr>
      <w:r>
        <w:rPr>
          <w:rStyle w:val="FootnoteReference"/>
        </w:rPr>
        <w:footnoteRef/>
      </w:r>
      <w:r>
        <w:t xml:space="preserve"> </w:t>
      </w:r>
      <w:r w:rsidRPr="00770315">
        <w:rPr>
          <w:rFonts w:ascii="Arial" w:eastAsia="Arial" w:hAnsi="Arial" w:cs="Arial"/>
          <w:sz w:val="18"/>
          <w:szCs w:val="18"/>
          <w:lang w:bidi="es-ES"/>
        </w:rPr>
        <w:t>https://www.ellenmacarthurfoundation.org/news/now-live-the-global-commitment-five-years-in-paper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A62A9"/>
    <w:rsid w:val="00343342"/>
    <w:rsid w:val="003800D4"/>
    <w:rsid w:val="003837B8"/>
    <w:rsid w:val="003D2FE3"/>
    <w:rsid w:val="00453BFE"/>
    <w:rsid w:val="004C2489"/>
    <w:rsid w:val="004C5501"/>
    <w:rsid w:val="004F0E9E"/>
    <w:rsid w:val="004F3549"/>
    <w:rsid w:val="00546823"/>
    <w:rsid w:val="00574281"/>
    <w:rsid w:val="005930D2"/>
    <w:rsid w:val="005A0E31"/>
    <w:rsid w:val="005A4060"/>
    <w:rsid w:val="005A48B2"/>
    <w:rsid w:val="005D389A"/>
    <w:rsid w:val="00600B2B"/>
    <w:rsid w:val="00623A69"/>
    <w:rsid w:val="006464E6"/>
    <w:rsid w:val="006A45F6"/>
    <w:rsid w:val="006A73CE"/>
    <w:rsid w:val="006C70AF"/>
    <w:rsid w:val="00722663"/>
    <w:rsid w:val="00756417"/>
    <w:rsid w:val="00766D70"/>
    <w:rsid w:val="007B484F"/>
    <w:rsid w:val="0084626F"/>
    <w:rsid w:val="0089339F"/>
    <w:rsid w:val="00896430"/>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82E17"/>
    <w:rsid w:val="00B936B3"/>
    <w:rsid w:val="00BB5BE9"/>
    <w:rsid w:val="00BE0378"/>
    <w:rsid w:val="00C179A7"/>
    <w:rsid w:val="00C20D00"/>
    <w:rsid w:val="00C42F61"/>
    <w:rsid w:val="00C4496E"/>
    <w:rsid w:val="00CC20B7"/>
    <w:rsid w:val="00CC7F9D"/>
    <w:rsid w:val="00D12952"/>
    <w:rsid w:val="00D13AC6"/>
    <w:rsid w:val="00D33141"/>
    <w:rsid w:val="00D65423"/>
    <w:rsid w:val="00DA5A2A"/>
    <w:rsid w:val="00DB1DC2"/>
    <w:rsid w:val="00DC705D"/>
    <w:rsid w:val="00DE5DD2"/>
    <w:rsid w:val="00E34AC7"/>
    <w:rsid w:val="00E61AB6"/>
    <w:rsid w:val="00EF0880"/>
    <w:rsid w:val="00F03D8B"/>
    <w:rsid w:val="00F172A1"/>
    <w:rsid w:val="00F36CF1"/>
    <w:rsid w:val="00F54C68"/>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enmacarthurfoundation.org/global-commitment-2022/overview" TargetMode="External"/><Relationship Id="rId13" Type="http://schemas.openxmlformats.org/officeDocument/2006/relationships/hyperlink" Target="http://www.bobst.com/face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drun.alex@bobs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vadis.com/"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10" Type="http://schemas.openxmlformats.org/officeDocument/2006/relationships/hyperlink" Target="https://www.europarl.europa.eu/news/en/press-room/20231117IPR12213/parliament-adopts-revamped-rules-to-reduce-reuse-and-recycle-packag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uroparl.europa.eu/news/es/press-room/20231117IPR12213/el-pe-apoya-las-normas-revisadas-para-reducir-reutilizar-y-reciclar-envases" TargetMode="External"/><Relationship Id="rId14" Type="http://schemas.openxmlformats.org/officeDocument/2006/relationships/hyperlink" Target="http://www.bobs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5D86-9D99-45BF-A0D1-DE5B8CAD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ES_28502</Template>
  <TotalTime>10</TotalTime>
  <Pages>4</Pages>
  <Words>1776</Words>
  <Characters>10127</Characters>
  <Application>Microsoft Office Word</Application>
  <DocSecurity>0</DocSecurity>
  <Lines>84</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11</cp:revision>
  <cp:lastPrinted>2015-02-06T09:00:00Z</cp:lastPrinted>
  <dcterms:created xsi:type="dcterms:W3CDTF">2024-02-27T17:19:00Z</dcterms:created>
  <dcterms:modified xsi:type="dcterms:W3CDTF">2024-04-30T10:34:00Z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